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F8C41" w14:textId="77777777" w:rsidR="0014471C" w:rsidRDefault="0014471C" w:rsidP="00B2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57F77A16">
        <w:rPr>
          <w:rFonts w:ascii="Times New Roman" w:eastAsia="Times New Roman" w:hAnsi="Times New Roman" w:cs="Times New Roman"/>
          <w:b/>
          <w:bCs/>
          <w:sz w:val="24"/>
          <w:szCs w:val="24"/>
        </w:rPr>
        <w:t>Quality Focus Essay</w:t>
      </w:r>
    </w:p>
    <w:p w14:paraId="13BDCCED" w14:textId="77777777" w:rsidR="00BA6053" w:rsidRPr="00CD0002" w:rsidRDefault="00BA6053" w:rsidP="00B2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E02FBD" w14:textId="77777777" w:rsidR="00165D24" w:rsidRDefault="00165D24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46BA9" w14:textId="77777777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CDF10F5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14:paraId="1B592B8B" w14:textId="748C5373" w:rsidR="0047310F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De Anza College’s Quality Focus Essay (QFE) </w:t>
      </w:r>
      <w:r w:rsidR="00165D24">
        <w:rPr>
          <w:rFonts w:ascii="Times New Roman" w:eastAsia="Times New Roman" w:hAnsi="Times New Roman" w:cs="Times New Roman"/>
          <w:sz w:val="24"/>
          <w:szCs w:val="24"/>
        </w:rPr>
        <w:t>is developed from the I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 xml:space="preserve">nstitutional </w:t>
      </w:r>
      <w:r w:rsidR="00165D24">
        <w:rPr>
          <w:rFonts w:ascii="Times New Roman" w:eastAsia="Times New Roman" w:hAnsi="Times New Roman" w:cs="Times New Roman"/>
          <w:sz w:val="24"/>
          <w:szCs w:val="24"/>
        </w:rPr>
        <w:t>Self-E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valuation</w:t>
      </w:r>
      <w:r w:rsidR="007C1983">
        <w:rPr>
          <w:rFonts w:ascii="Times New Roman" w:eastAsia="Times New Roman" w:hAnsi="Times New Roman" w:cs="Times New Roman"/>
          <w:sz w:val="24"/>
          <w:szCs w:val="24"/>
        </w:rPr>
        <w:t xml:space="preserve"> Report (ISER)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>. It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provides the college with an opportunity to delve </w:t>
      </w:r>
      <w:r w:rsidR="00B03D4E">
        <w:rPr>
          <w:rFonts w:ascii="Times New Roman" w:eastAsia="Times New Roman" w:hAnsi="Times New Roman" w:cs="Times New Roman"/>
          <w:sz w:val="24"/>
          <w:szCs w:val="24"/>
        </w:rPr>
        <w:t xml:space="preserve">more deeply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into areas of improvement that are aligned with </w:t>
      </w:r>
      <w:r w:rsidR="00007E5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 w:rsidR="00007E5F"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to have a greater impact on student outcomes. </w:t>
      </w:r>
    </w:p>
    <w:p w14:paraId="5339521C" w14:textId="77777777" w:rsid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30844" w14:textId="080AF0EC" w:rsidR="0014471C" w:rsidRDefault="00D063E2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Topics for the QFE were identified by t</w:t>
      </w:r>
      <w:r w:rsidR="0014471C" w:rsidRPr="57F77A16">
        <w:rPr>
          <w:rFonts w:ascii="Times New Roman" w:eastAsia="Times New Roman" w:hAnsi="Times New Roman" w:cs="Times New Roman"/>
          <w:sz w:val="24"/>
          <w:szCs w:val="24"/>
        </w:rPr>
        <w:t>he Accreditation Steering Committee,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983">
        <w:rPr>
          <w:rFonts w:ascii="Times New Roman" w:eastAsia="Times New Roman" w:hAnsi="Times New Roman" w:cs="Times New Roman"/>
          <w:sz w:val="24"/>
          <w:szCs w:val="24"/>
        </w:rPr>
        <w:t xml:space="preserve">evolved 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 xml:space="preserve">from the standing College Planning Committee (CPC) </w:t>
      </w:r>
      <w:r w:rsidR="007C1983">
        <w:rPr>
          <w:rFonts w:ascii="Times New Roman" w:eastAsia="Times New Roman" w:hAnsi="Times New Roman" w:cs="Times New Roman"/>
          <w:sz w:val="24"/>
          <w:szCs w:val="24"/>
        </w:rPr>
        <w:t xml:space="preserve">for the ISER preparation period 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 xml:space="preserve">and which </w:t>
      </w:r>
      <w:r>
        <w:rPr>
          <w:rFonts w:ascii="Times New Roman" w:eastAsia="Times New Roman" w:hAnsi="Times New Roman" w:cs="Times New Roman"/>
          <w:sz w:val="24"/>
          <w:szCs w:val="24"/>
        </w:rPr>
        <w:t>includes representatives from</w:t>
      </w:r>
      <w:r w:rsidR="0014471C" w:rsidRPr="57F77A16">
        <w:rPr>
          <w:rFonts w:ascii="Times New Roman" w:eastAsia="Times New Roman" w:hAnsi="Times New Roman" w:cs="Times New Roman"/>
          <w:sz w:val="24"/>
          <w:szCs w:val="24"/>
        </w:rPr>
        <w:t xml:space="preserve"> all campus constituencies</w:t>
      </w:r>
      <w:r>
        <w:rPr>
          <w:rFonts w:ascii="Times New Roman" w:eastAsia="Times New Roman" w:hAnsi="Times New Roman" w:cs="Times New Roman"/>
          <w:sz w:val="24"/>
          <w:szCs w:val="24"/>
        </w:rPr>
        <w:t>. The committee</w:t>
      </w:r>
      <w:r w:rsidR="0014471C" w:rsidRPr="57F77A16">
        <w:rPr>
          <w:rFonts w:ascii="Times New Roman" w:eastAsia="Times New Roman" w:hAnsi="Times New Roman" w:cs="Times New Roman"/>
          <w:sz w:val="24"/>
          <w:szCs w:val="24"/>
        </w:rPr>
        <w:t xml:space="preserve"> met to review the action plans identified in the self-evaluation report and 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4471C" w:rsidRPr="57F77A16">
        <w:rPr>
          <w:rFonts w:ascii="Times New Roman" w:eastAsia="Times New Roman" w:hAnsi="Times New Roman" w:cs="Times New Roman"/>
          <w:sz w:val="24"/>
          <w:szCs w:val="24"/>
        </w:rPr>
        <w:t>develop potential action projects the QFE.</w:t>
      </w:r>
    </w:p>
    <w:p w14:paraId="0F68A695" w14:textId="77777777" w:rsid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3992E" w14:textId="6366309A" w:rsidR="0047310F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During this self-evaluation process, De Anza College reflected on 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 mission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Educational Master Plan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 xml:space="preserve"> (EMP)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 xml:space="preserve">, as well as 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long-standing commitment to equity and 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serving students from </w:t>
      </w:r>
      <w:r w:rsidR="00FF115A">
        <w:rPr>
          <w:rFonts w:ascii="Times New Roman" w:eastAsia="Times New Roman" w:hAnsi="Times New Roman" w:cs="Times New Roman"/>
          <w:sz w:val="24"/>
          <w:szCs w:val="24"/>
        </w:rPr>
        <w:t xml:space="preserve">historically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underrepresented populations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 xml:space="preserve">. This enabled the college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to identify 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 xml:space="preserve">plans and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projects 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help 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 xml:space="preserve">fulfill the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mission and improve student learning and achievement. </w:t>
      </w:r>
    </w:p>
    <w:p w14:paraId="7FA0D252" w14:textId="0378005C" w:rsidR="0014471C" w:rsidRDefault="00D063E2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 xml:space="preserve">deep and reflective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discussion, 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 xml:space="preserve">the steering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committee identified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 xml:space="preserve">major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themes for action projects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>continuing the college’s commitment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to equity</w:t>
      </w:r>
      <w:r w:rsidR="00FF11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>enhancing integrated planning and communication.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 xml:space="preserve"> selected projects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focus on areas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long-term improvements over a seven-year period. </w:t>
      </w:r>
    </w:p>
    <w:p w14:paraId="590FEC0A" w14:textId="77777777" w:rsid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81E5D" w14:textId="4E992620" w:rsidR="00AE1329" w:rsidRDefault="00BB44C3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QFE begins with a review of De Anza’s equity goals and a discussion of other Institutional Metrics, followed by a summary of 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>the action plans listed in the Institutional Self-Evaluation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QFE then explains the process that led to 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 xml:space="preserve">identifying projects and lists </w:t>
      </w:r>
      <w:r w:rsidR="0031605C">
        <w:rPr>
          <w:rFonts w:ascii="Times New Roman" w:eastAsia="Times New Roman" w:hAnsi="Times New Roman" w:cs="Times New Roman"/>
          <w:sz w:val="24"/>
          <w:szCs w:val="24"/>
        </w:rPr>
        <w:t xml:space="preserve">steps the college 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>will take to complete each project, including timelines, responsible parties and a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>ny needed resources. Lastly, this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 xml:space="preserve"> essay includes a plan for evaluating the </w:t>
      </w:r>
      <w:r w:rsidR="00A50F6A">
        <w:rPr>
          <w:rFonts w:ascii="Times New Roman" w:eastAsia="Times New Roman" w:hAnsi="Times New Roman" w:cs="Times New Roman"/>
          <w:sz w:val="24"/>
          <w:szCs w:val="24"/>
        </w:rPr>
        <w:t xml:space="preserve">outcomes and </w:t>
      </w:r>
      <w:r w:rsidR="00AE1329">
        <w:rPr>
          <w:rFonts w:ascii="Times New Roman" w:eastAsia="Times New Roman" w:hAnsi="Times New Roman" w:cs="Times New Roman"/>
          <w:sz w:val="24"/>
          <w:szCs w:val="24"/>
        </w:rPr>
        <w:t>effectiveness of the projects.</w:t>
      </w:r>
    </w:p>
    <w:p w14:paraId="02BBFA0B" w14:textId="77777777" w:rsidR="00A1621D" w:rsidRDefault="00A1621D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F5A1C9" w14:textId="77777777" w:rsidR="00EA176D" w:rsidRDefault="00EA176D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B2BE06" w14:textId="36A212E7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DA85E2">
        <w:rPr>
          <w:rFonts w:ascii="Times New Roman" w:eastAsia="Times New Roman" w:hAnsi="Times New Roman" w:cs="Times New Roman"/>
          <w:b/>
          <w:bCs/>
          <w:sz w:val="24"/>
          <w:szCs w:val="24"/>
        </w:rPr>
        <w:t>De Anza's Equity Goals</w:t>
      </w:r>
    </w:p>
    <w:p w14:paraId="7430D91F" w14:textId="31241A08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DA85E2">
        <w:rPr>
          <w:rFonts w:ascii="Times New Roman" w:eastAsia="Times New Roman" w:hAnsi="Times New Roman" w:cs="Times New Roman"/>
          <w:sz w:val="24"/>
          <w:szCs w:val="24"/>
        </w:rPr>
        <w:t>De Anza first identified its Institutional Metrics in the Educational Master Plan 2010-2015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 xml:space="preserve">. The college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reaffirmed these metrics, 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 xml:space="preserve">along with some additions,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in the Educational Master Plan 2015-2020. De Anza has committed to achieving the following equity metrics by 2020:</w:t>
      </w:r>
    </w:p>
    <w:p w14:paraId="3BC8400B" w14:textId="77777777" w:rsid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67E83" w14:textId="20F13FA5" w:rsidR="0014471C" w:rsidRDefault="0014471C" w:rsidP="00B2642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7DDA85E2">
        <w:rPr>
          <w:rFonts w:ascii="Times New Roman" w:eastAsia="Times New Roman" w:hAnsi="Times New Roman" w:cs="Times New Roman"/>
          <w:sz w:val="24"/>
          <w:szCs w:val="24"/>
        </w:rPr>
        <w:t>Targeted groups will persist at a rate within 5</w:t>
      </w:r>
      <w:r w:rsidR="00D063E2">
        <w:rPr>
          <w:rFonts w:ascii="Times New Roman" w:eastAsia="Times New Roman" w:hAnsi="Times New Roman" w:cs="Times New Roman"/>
          <w:sz w:val="24"/>
          <w:szCs w:val="24"/>
        </w:rPr>
        <w:t xml:space="preserve"> percent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 of all other groups (</w:t>
      </w:r>
      <w:r w:rsidR="006A30F1">
        <w:rPr>
          <w:rFonts w:ascii="Times New Roman" w:eastAsia="Times New Roman" w:hAnsi="Times New Roman" w:cs="Times New Roman"/>
          <w:sz w:val="24"/>
          <w:szCs w:val="24"/>
        </w:rPr>
        <w:t xml:space="preserve">Student Success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Scorecard metric).</w:t>
      </w:r>
    </w:p>
    <w:p w14:paraId="413031FE" w14:textId="7DEFF471" w:rsidR="0014471C" w:rsidRPr="00B2642B" w:rsidRDefault="00D063E2" w:rsidP="00B2642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will be a difference of no more than 5 percentage points </w:t>
      </w:r>
      <w:r w:rsidR="006A30F1">
        <w:rPr>
          <w:rFonts w:ascii="Times New Roman" w:eastAsia="Times New Roman" w:hAnsi="Times New Roman" w:cs="Times New Roman"/>
          <w:sz w:val="24"/>
          <w:szCs w:val="24"/>
        </w:rPr>
        <w:t>between the annual c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ourse </w:t>
      </w:r>
      <w:r w:rsidR="006A30F1">
        <w:rPr>
          <w:rFonts w:ascii="Times New Roman" w:eastAsia="Times New Roman" w:hAnsi="Times New Roman" w:cs="Times New Roman"/>
          <w:sz w:val="24"/>
          <w:szCs w:val="24"/>
        </w:rPr>
        <w:t>c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ompletion </w:t>
      </w:r>
      <w:r w:rsidR="006A30F1">
        <w:rPr>
          <w:rFonts w:ascii="Times New Roman" w:eastAsia="Times New Roman" w:hAnsi="Times New Roman" w:cs="Times New Roman"/>
          <w:sz w:val="24"/>
          <w:szCs w:val="24"/>
        </w:rPr>
        <w:t>r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ate for targeted groups and </w:t>
      </w:r>
      <w:r w:rsidR="004F778E">
        <w:rPr>
          <w:rFonts w:ascii="Times New Roman" w:eastAsia="Times New Roman" w:hAnsi="Times New Roman" w:cs="Times New Roman"/>
          <w:sz w:val="24"/>
          <w:szCs w:val="24"/>
        </w:rPr>
        <w:t xml:space="preserve">the rate for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all other groups (I</w:t>
      </w:r>
      <w:r w:rsidR="006A30F1">
        <w:rPr>
          <w:rFonts w:ascii="Times New Roman" w:eastAsia="Times New Roman" w:hAnsi="Times New Roman" w:cs="Times New Roman"/>
          <w:sz w:val="24"/>
          <w:szCs w:val="24"/>
        </w:rPr>
        <w:t>nstitutional Effectiveness Partnership Initiative i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ndicator).</w:t>
      </w:r>
    </w:p>
    <w:p w14:paraId="52DF1CBD" w14:textId="77777777" w:rsidR="00B2642B" w:rsidRPr="00B2642B" w:rsidRDefault="00B2642B" w:rsidP="00B2642B">
      <w:pPr>
        <w:spacing w:after="0" w:line="240" w:lineRule="auto"/>
        <w:ind w:left="360"/>
        <w:rPr>
          <w:rFonts w:eastAsiaTheme="minorEastAsia"/>
          <w:sz w:val="24"/>
          <w:szCs w:val="24"/>
        </w:rPr>
      </w:pPr>
    </w:p>
    <w:p w14:paraId="492D2FD8" w14:textId="77777777" w:rsidR="00B2642B" w:rsidRDefault="00A107A6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7A6">
        <w:rPr>
          <w:rFonts w:ascii="Times New Roman" w:eastAsia="Times New Roman" w:hAnsi="Times New Roman" w:cs="Times New Roman"/>
          <w:sz w:val="24"/>
          <w:szCs w:val="24"/>
        </w:rPr>
        <w:t>Within the Educational Master Plan process, the c</w:t>
      </w:r>
      <w:r>
        <w:rPr>
          <w:rFonts w:ascii="Times New Roman" w:eastAsia="Times New Roman" w:hAnsi="Times New Roman" w:cs="Times New Roman"/>
          <w:sz w:val="24"/>
          <w:szCs w:val="24"/>
        </w:rPr>
        <w:t>ollege also de</w:t>
      </w:r>
      <w:r w:rsidR="002A3828">
        <w:rPr>
          <w:rFonts w:ascii="Times New Roman" w:eastAsia="Times New Roman" w:hAnsi="Times New Roman" w:cs="Times New Roman"/>
          <w:sz w:val="24"/>
          <w:szCs w:val="24"/>
        </w:rPr>
        <w:t xml:space="preserve">cided to adopt 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A107A6">
        <w:rPr>
          <w:rFonts w:ascii="Times New Roman" w:eastAsia="Times New Roman" w:hAnsi="Times New Roman" w:cs="Times New Roman"/>
          <w:sz w:val="24"/>
          <w:szCs w:val="24"/>
        </w:rPr>
        <w:t xml:space="preserve">Equity-Driven Systems Change Model </w:t>
      </w:r>
      <w:r w:rsidR="002A3828">
        <w:rPr>
          <w:rFonts w:ascii="Times New Roman" w:eastAsia="Times New Roman" w:hAnsi="Times New Roman" w:cs="Times New Roman"/>
          <w:sz w:val="24"/>
          <w:szCs w:val="24"/>
        </w:rPr>
        <w:t>for c</w:t>
      </w:r>
      <w:r>
        <w:rPr>
          <w:rFonts w:ascii="Times New Roman" w:eastAsia="Times New Roman" w:hAnsi="Times New Roman" w:cs="Times New Roman"/>
          <w:sz w:val="24"/>
          <w:szCs w:val="24"/>
        </w:rPr>
        <w:t>reat</w:t>
      </w:r>
      <w:r w:rsidR="002A3828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equity-driven institution, through such processes as reflection and continued improvement. </w:t>
      </w:r>
      <w:r w:rsidR="002A3828">
        <w:rPr>
          <w:rFonts w:ascii="Times New Roman" w:eastAsia="Times New Roman" w:hAnsi="Times New Roman" w:cs="Times New Roman"/>
          <w:sz w:val="24"/>
          <w:szCs w:val="24"/>
        </w:rPr>
        <w:t xml:space="preserve">The college used this model to develop a </w:t>
      </w:r>
      <w:r w:rsidRPr="00A107A6">
        <w:rPr>
          <w:rFonts w:ascii="Times New Roman" w:eastAsia="Times New Roman" w:hAnsi="Times New Roman" w:cs="Times New Roman"/>
          <w:sz w:val="24"/>
          <w:szCs w:val="24"/>
        </w:rPr>
        <w:t xml:space="preserve">rubric </w:t>
      </w:r>
      <w:r w:rsidR="002A3828">
        <w:rPr>
          <w:rFonts w:ascii="Times New Roman" w:eastAsia="Times New Roman" w:hAnsi="Times New Roman" w:cs="Times New Roman"/>
          <w:sz w:val="24"/>
          <w:szCs w:val="24"/>
        </w:rPr>
        <w:t xml:space="preserve">for evaluating its </w:t>
      </w:r>
      <w:r w:rsidRPr="00A107A6">
        <w:rPr>
          <w:rFonts w:ascii="Times New Roman" w:eastAsia="Times New Roman" w:hAnsi="Times New Roman" w:cs="Times New Roman"/>
          <w:sz w:val="24"/>
          <w:szCs w:val="24"/>
        </w:rPr>
        <w:t xml:space="preserve">organizational policies and practices, student learning and outcomes, </w:t>
      </w:r>
      <w:r w:rsidRPr="00A107A6">
        <w:rPr>
          <w:rFonts w:ascii="Times New Roman" w:eastAsia="Times New Roman" w:hAnsi="Times New Roman" w:cs="Times New Roman"/>
          <w:sz w:val="24"/>
          <w:szCs w:val="24"/>
        </w:rPr>
        <w:lastRenderedPageBreak/>
        <w:t>organizational and professional development, community and civic engagement, a</w:t>
      </w:r>
      <w:r w:rsidR="002A3828">
        <w:rPr>
          <w:rFonts w:ascii="Times New Roman" w:eastAsia="Times New Roman" w:hAnsi="Times New Roman" w:cs="Times New Roman"/>
          <w:sz w:val="24"/>
          <w:szCs w:val="24"/>
        </w:rPr>
        <w:t>s well as</w:t>
      </w:r>
      <w:r w:rsidRPr="00A107A6">
        <w:rPr>
          <w:rFonts w:ascii="Times New Roman" w:eastAsia="Times New Roman" w:hAnsi="Times New Roman" w:cs="Times New Roman"/>
          <w:sz w:val="24"/>
          <w:szCs w:val="24"/>
        </w:rPr>
        <w:t xml:space="preserve"> the sustainability of institutional equity.  </w:t>
      </w:r>
    </w:p>
    <w:p w14:paraId="102B7C95" w14:textId="77777777" w:rsid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C6EA7" w14:textId="65913F04" w:rsidR="00DA4605" w:rsidRDefault="00D356BA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 to establishing </w:t>
      </w:r>
      <w:r w:rsidR="00D250D0">
        <w:rPr>
          <w:rFonts w:ascii="Times New Roman" w:eastAsia="Times New Roman" w:hAnsi="Times New Roman" w:cs="Times New Roman"/>
          <w:sz w:val="24"/>
          <w:szCs w:val="24"/>
        </w:rPr>
        <w:t xml:space="preserve">equity goals, the college identified six </w:t>
      </w:r>
      <w:r w:rsidR="00A1621D">
        <w:rPr>
          <w:rFonts w:ascii="Times New Roman" w:eastAsia="Times New Roman" w:hAnsi="Times New Roman" w:cs="Times New Roman"/>
          <w:sz w:val="24"/>
          <w:szCs w:val="24"/>
        </w:rPr>
        <w:t>Institutional M</w:t>
      </w:r>
      <w:r w:rsidR="00D250D0">
        <w:rPr>
          <w:rFonts w:ascii="Times New Roman" w:eastAsia="Times New Roman" w:hAnsi="Times New Roman" w:cs="Times New Roman"/>
          <w:sz w:val="24"/>
          <w:szCs w:val="24"/>
        </w:rPr>
        <w:t>etrics that require additional attention. T</w:t>
      </w:r>
      <w:r w:rsidR="00931678">
        <w:rPr>
          <w:rFonts w:ascii="Times New Roman" w:eastAsia="Times New Roman" w:hAnsi="Times New Roman" w:cs="Times New Roman"/>
          <w:sz w:val="24"/>
          <w:szCs w:val="24"/>
        </w:rPr>
        <w:t xml:space="preserve">hrough its annual review, the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College Planning Committee</w:t>
      </w:r>
      <w:r w:rsidR="00931678">
        <w:rPr>
          <w:rFonts w:ascii="Times New Roman" w:eastAsia="Times New Roman" w:hAnsi="Times New Roman" w:cs="Times New Roman"/>
          <w:sz w:val="24"/>
          <w:szCs w:val="24"/>
        </w:rPr>
        <w:t xml:space="preserve"> (CPC</w:t>
      </w:r>
      <w:r w:rsidR="00B22E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determined </w:t>
      </w:r>
      <w:r w:rsidR="00931678">
        <w:rPr>
          <w:rFonts w:ascii="Times New Roman" w:eastAsia="Times New Roman" w:hAnsi="Times New Roman" w:cs="Times New Roman"/>
          <w:sz w:val="24"/>
          <w:szCs w:val="24"/>
        </w:rPr>
        <w:t xml:space="preserve">in 2016-17 that De Anza </w:t>
      </w:r>
      <w:r w:rsidR="00B22E95">
        <w:rPr>
          <w:rFonts w:ascii="Times New Roman" w:eastAsia="Times New Roman" w:hAnsi="Times New Roman" w:cs="Times New Roman"/>
          <w:sz w:val="24"/>
          <w:szCs w:val="24"/>
        </w:rPr>
        <w:t xml:space="preserve">should make further </w:t>
      </w:r>
      <w:r w:rsidR="00931678">
        <w:rPr>
          <w:rFonts w:ascii="Times New Roman" w:eastAsia="Times New Roman" w:hAnsi="Times New Roman" w:cs="Times New Roman"/>
          <w:sz w:val="24"/>
          <w:szCs w:val="24"/>
        </w:rPr>
        <w:t xml:space="preserve">progress toward achieving the master plan goal for </w:t>
      </w:r>
      <w:r w:rsidR="00DA4605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 w:rsidR="00D250D0">
        <w:rPr>
          <w:rFonts w:ascii="Times New Roman" w:eastAsia="Times New Roman" w:hAnsi="Times New Roman" w:cs="Times New Roman"/>
          <w:sz w:val="24"/>
          <w:szCs w:val="24"/>
        </w:rPr>
        <w:t xml:space="preserve">six </w:t>
      </w:r>
      <w:r w:rsidR="004F778E">
        <w:rPr>
          <w:rFonts w:ascii="Times New Roman" w:eastAsia="Times New Roman" w:hAnsi="Times New Roman" w:cs="Times New Roman"/>
          <w:sz w:val="24"/>
          <w:szCs w:val="24"/>
        </w:rPr>
        <w:t>m</w:t>
      </w:r>
      <w:r w:rsidR="00931678">
        <w:rPr>
          <w:rFonts w:ascii="Times New Roman" w:eastAsia="Times New Roman" w:hAnsi="Times New Roman" w:cs="Times New Roman"/>
          <w:sz w:val="24"/>
          <w:szCs w:val="24"/>
        </w:rPr>
        <w:t>etrics by 2020</w:t>
      </w:r>
      <w:r w:rsidR="00DA460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F65980" w14:textId="77777777" w:rsidR="0095755A" w:rsidRDefault="0095755A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EECC3" w14:textId="77777777" w:rsidR="0014471C" w:rsidRPr="0095755A" w:rsidRDefault="0014471C" w:rsidP="00B2642B">
      <w:pPr>
        <w:spacing w:after="0" w:line="240" w:lineRule="auto"/>
        <w:rPr>
          <w:b/>
        </w:rPr>
      </w:pPr>
      <w:r w:rsidRPr="0095755A">
        <w:rPr>
          <w:rFonts w:ascii="Times New Roman" w:eastAsia="Times New Roman" w:hAnsi="Times New Roman" w:cs="Times New Roman"/>
          <w:b/>
          <w:sz w:val="24"/>
          <w:szCs w:val="24"/>
        </w:rPr>
        <w:t>Basic Skills</w:t>
      </w:r>
    </w:p>
    <w:p w14:paraId="3D7DE90E" w14:textId="444D90EE" w:rsidR="0014471C" w:rsidRDefault="004F778E" w:rsidP="00B2642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asic Skills English course sequence completion rate will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77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percent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28D5D" w14:textId="72C37C4E" w:rsidR="0014471C" w:rsidRDefault="004F778E" w:rsidP="00B2642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Basic S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kills Math sequence completion rate will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percent.</w:t>
      </w:r>
    </w:p>
    <w:p w14:paraId="39D5E301" w14:textId="3495D93C" w:rsidR="0014471C" w:rsidRPr="0095755A" w:rsidRDefault="004F778E" w:rsidP="00B2642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Basic S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kills </w:t>
      </w:r>
      <w:r>
        <w:rPr>
          <w:rFonts w:ascii="Times New Roman" w:eastAsia="Times New Roman" w:hAnsi="Times New Roman" w:cs="Times New Roman"/>
          <w:sz w:val="24"/>
          <w:szCs w:val="24"/>
        </w:rPr>
        <w:t>English as a Second Language (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ESL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sequence completion rate will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percent.</w:t>
      </w:r>
    </w:p>
    <w:p w14:paraId="2BD45E8A" w14:textId="77777777" w:rsidR="0095755A" w:rsidRPr="0095755A" w:rsidRDefault="0095755A" w:rsidP="0095755A">
      <w:pPr>
        <w:spacing w:after="0" w:line="240" w:lineRule="auto"/>
        <w:ind w:left="360"/>
        <w:rPr>
          <w:rFonts w:eastAsiaTheme="minorEastAsia"/>
        </w:rPr>
      </w:pPr>
    </w:p>
    <w:p w14:paraId="5D727C5F" w14:textId="77777777" w:rsidR="0014471C" w:rsidRPr="0095755A" w:rsidRDefault="0014471C" w:rsidP="00B2642B">
      <w:pPr>
        <w:spacing w:after="0" w:line="240" w:lineRule="auto"/>
        <w:rPr>
          <w:b/>
        </w:rPr>
      </w:pPr>
      <w:r w:rsidRPr="0095755A">
        <w:rPr>
          <w:rFonts w:ascii="Times New Roman" w:eastAsia="Times New Roman" w:hAnsi="Times New Roman" w:cs="Times New Roman"/>
          <w:b/>
          <w:sz w:val="24"/>
          <w:szCs w:val="24"/>
        </w:rPr>
        <w:t>Civic Engagement</w:t>
      </w:r>
    </w:p>
    <w:p w14:paraId="0C1A2EA4" w14:textId="77777777" w:rsidR="0014471C" w:rsidRPr="0095755A" w:rsidRDefault="0014471C" w:rsidP="00B2642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DDA85E2">
        <w:rPr>
          <w:rFonts w:ascii="Times New Roman" w:eastAsia="Times New Roman" w:hAnsi="Times New Roman" w:cs="Times New Roman"/>
          <w:sz w:val="24"/>
          <w:szCs w:val="24"/>
        </w:rPr>
        <w:t>Six percent of students with a goal of transfer or degree will have enrolled in at least one course having a community/civic engagement component each fall.</w:t>
      </w:r>
    </w:p>
    <w:p w14:paraId="02E5D838" w14:textId="77777777" w:rsidR="0095755A" w:rsidRPr="0095755A" w:rsidRDefault="0095755A" w:rsidP="0095755A">
      <w:pPr>
        <w:spacing w:after="0" w:line="240" w:lineRule="auto"/>
        <w:ind w:left="360"/>
        <w:rPr>
          <w:rFonts w:eastAsiaTheme="minorEastAsia"/>
        </w:rPr>
      </w:pPr>
    </w:p>
    <w:p w14:paraId="637C1328" w14:textId="77777777" w:rsidR="0014471C" w:rsidRPr="0095755A" w:rsidRDefault="0014471C" w:rsidP="00B2642B">
      <w:pPr>
        <w:spacing w:after="0" w:line="240" w:lineRule="auto"/>
        <w:rPr>
          <w:b/>
        </w:rPr>
      </w:pPr>
      <w:r w:rsidRPr="0095755A">
        <w:rPr>
          <w:rFonts w:ascii="Times New Roman" w:eastAsia="Times New Roman" w:hAnsi="Times New Roman" w:cs="Times New Roman"/>
          <w:b/>
          <w:sz w:val="24"/>
          <w:szCs w:val="24"/>
        </w:rPr>
        <w:t>Career Technical Education</w:t>
      </w:r>
    </w:p>
    <w:p w14:paraId="29F7CD9C" w14:textId="2D26B42C" w:rsidR="0014471C" w:rsidRPr="0095755A" w:rsidRDefault="004F778E" w:rsidP="00B2642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Fifty-seven percent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of students who were enrollment in a career technical educatio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program will be employed full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one year after leaving De Anza College.</w:t>
      </w:r>
    </w:p>
    <w:p w14:paraId="124F35B0" w14:textId="77777777" w:rsidR="0095755A" w:rsidRPr="0095755A" w:rsidRDefault="0095755A" w:rsidP="0095755A">
      <w:pPr>
        <w:spacing w:after="0" w:line="240" w:lineRule="auto"/>
        <w:ind w:left="360"/>
        <w:rPr>
          <w:rFonts w:eastAsiaTheme="minorEastAsia"/>
        </w:rPr>
      </w:pPr>
    </w:p>
    <w:p w14:paraId="2297989D" w14:textId="77777777" w:rsidR="0014471C" w:rsidRPr="0095755A" w:rsidRDefault="0014471C" w:rsidP="00B2642B">
      <w:pPr>
        <w:spacing w:after="0" w:line="240" w:lineRule="auto"/>
        <w:rPr>
          <w:b/>
        </w:rPr>
      </w:pPr>
      <w:r w:rsidRPr="0095755A">
        <w:rPr>
          <w:rFonts w:ascii="Times New Roman" w:eastAsia="Times New Roman" w:hAnsi="Times New Roman" w:cs="Times New Roman"/>
          <w:b/>
          <w:sz w:val="24"/>
          <w:szCs w:val="24"/>
        </w:rPr>
        <w:t>Funding</w:t>
      </w:r>
    </w:p>
    <w:p w14:paraId="2CC688B1" w14:textId="77777777" w:rsidR="0014471C" w:rsidRPr="0095755A" w:rsidRDefault="0014471C" w:rsidP="00B2642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DDA85E2">
        <w:rPr>
          <w:rFonts w:ascii="Times New Roman" w:eastAsia="Times New Roman" w:hAnsi="Times New Roman" w:cs="Times New Roman"/>
          <w:sz w:val="24"/>
          <w:szCs w:val="24"/>
        </w:rPr>
        <w:t>The annual FTES enrollment will increase to 20,000.</w:t>
      </w:r>
    </w:p>
    <w:p w14:paraId="6545E0E1" w14:textId="77777777" w:rsidR="0095755A" w:rsidRPr="0095755A" w:rsidRDefault="0095755A" w:rsidP="0095755A">
      <w:pPr>
        <w:spacing w:after="0" w:line="240" w:lineRule="auto"/>
        <w:ind w:left="360"/>
        <w:rPr>
          <w:rFonts w:eastAsiaTheme="minorEastAsia"/>
        </w:rPr>
      </w:pPr>
    </w:p>
    <w:p w14:paraId="25178A27" w14:textId="7A9524FC" w:rsidR="00DA4605" w:rsidRDefault="00DA4605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05">
        <w:rPr>
          <w:rFonts w:ascii="Times New Roman" w:eastAsia="Times New Roman" w:hAnsi="Times New Roman" w:cs="Times New Roman"/>
          <w:sz w:val="24"/>
          <w:szCs w:val="24"/>
        </w:rPr>
        <w:t xml:space="preserve">The CPC brought these metrics to College Council, which asked the Academic Senate to work with the college community to meet the stated goals by 2020. </w:t>
      </w:r>
      <w:r w:rsidR="0014471C" w:rsidRPr="6FAF2D0B">
        <w:rPr>
          <w:rFonts w:ascii="Times New Roman" w:eastAsia="Times New Roman" w:hAnsi="Times New Roman" w:cs="Times New Roman"/>
          <w:sz w:val="24"/>
          <w:szCs w:val="24"/>
        </w:rPr>
        <w:t xml:space="preserve">Since fall 2016, the Academic Senate leadership has been working with the English, </w:t>
      </w:r>
      <w:r w:rsidR="00DF11A8">
        <w:rPr>
          <w:rFonts w:ascii="Times New Roman" w:eastAsia="Times New Roman" w:hAnsi="Times New Roman" w:cs="Times New Roman"/>
          <w:sz w:val="24"/>
          <w:szCs w:val="24"/>
        </w:rPr>
        <w:t xml:space="preserve">Math and ESL departments, </w:t>
      </w:r>
      <w:r w:rsidR="00B818FE">
        <w:rPr>
          <w:rFonts w:ascii="Times New Roman" w:eastAsia="Times New Roman" w:hAnsi="Times New Roman" w:cs="Times New Roman"/>
          <w:sz w:val="24"/>
          <w:szCs w:val="24"/>
        </w:rPr>
        <w:t>Enrollment Advisory Team</w:t>
      </w:r>
      <w:r w:rsidR="0014471C" w:rsidRPr="6FAF2D0B">
        <w:rPr>
          <w:rFonts w:ascii="Times New Roman" w:eastAsia="Times New Roman" w:hAnsi="Times New Roman" w:cs="Times New Roman"/>
          <w:sz w:val="24"/>
          <w:szCs w:val="24"/>
        </w:rPr>
        <w:t>, the Vasconcellos Institute</w:t>
      </w:r>
      <w:r w:rsidR="004F778E">
        <w:rPr>
          <w:rFonts w:ascii="Times New Roman" w:eastAsia="Times New Roman" w:hAnsi="Times New Roman" w:cs="Times New Roman"/>
          <w:sz w:val="24"/>
          <w:szCs w:val="24"/>
        </w:rPr>
        <w:t xml:space="preserve"> for Democracy in Action </w:t>
      </w:r>
      <w:r w:rsidR="00C673B1">
        <w:rPr>
          <w:rFonts w:ascii="Times New Roman" w:eastAsia="Times New Roman" w:hAnsi="Times New Roman" w:cs="Times New Roman"/>
          <w:sz w:val="24"/>
          <w:szCs w:val="24"/>
        </w:rPr>
        <w:t xml:space="preserve">(VIDA) </w:t>
      </w:r>
      <w:r w:rsidR="0014471C" w:rsidRPr="6FAF2D0B">
        <w:rPr>
          <w:rFonts w:ascii="Times New Roman" w:eastAsia="Times New Roman" w:hAnsi="Times New Roman" w:cs="Times New Roman"/>
          <w:sz w:val="24"/>
          <w:szCs w:val="24"/>
        </w:rPr>
        <w:t xml:space="preserve">and the Equity Action Council </w:t>
      </w:r>
      <w:r w:rsidR="00C673B1">
        <w:rPr>
          <w:rFonts w:ascii="Times New Roman" w:eastAsia="Times New Roman" w:hAnsi="Times New Roman" w:cs="Times New Roman"/>
          <w:sz w:val="24"/>
          <w:szCs w:val="24"/>
        </w:rPr>
        <w:t xml:space="preserve">(EAC) </w:t>
      </w:r>
      <w:r w:rsidR="0014471C" w:rsidRPr="6FAF2D0B">
        <w:rPr>
          <w:rFonts w:ascii="Times New Roman" w:eastAsia="Times New Roman" w:hAnsi="Times New Roman" w:cs="Times New Roman"/>
          <w:sz w:val="24"/>
          <w:szCs w:val="24"/>
        </w:rPr>
        <w:t xml:space="preserve">to develop a plan and timeline for </w:t>
      </w:r>
      <w:r>
        <w:rPr>
          <w:rFonts w:ascii="Times New Roman" w:eastAsia="Times New Roman" w:hAnsi="Times New Roman" w:cs="Times New Roman"/>
          <w:sz w:val="24"/>
          <w:szCs w:val="24"/>
        </w:rPr>
        <w:t>this effort.</w:t>
      </w:r>
    </w:p>
    <w:p w14:paraId="68F0B27C" w14:textId="77777777" w:rsidR="0095755A" w:rsidRDefault="0095755A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69C5F" w14:textId="7C19E516" w:rsidR="0014471C" w:rsidRDefault="0095755A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818FE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A4605">
        <w:rPr>
          <w:rFonts w:ascii="Times New Roman" w:eastAsia="Times New Roman" w:hAnsi="Times New Roman" w:cs="Times New Roman"/>
          <w:sz w:val="24"/>
          <w:szCs w:val="24"/>
        </w:rPr>
        <w:t xml:space="preserve"> six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metrics</w:t>
      </w:r>
      <w:r w:rsidR="00B818FE">
        <w:rPr>
          <w:rFonts w:ascii="Times New Roman" w:eastAsia="Times New Roman" w:hAnsi="Times New Roman" w:cs="Times New Roman"/>
          <w:sz w:val="24"/>
          <w:szCs w:val="24"/>
        </w:rPr>
        <w:t xml:space="preserve"> – directly linked to the college’s 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and planning processes – will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continue to serve as </w:t>
      </w:r>
      <w:r w:rsidR="00B818FE">
        <w:rPr>
          <w:rFonts w:ascii="Times New Roman" w:eastAsia="Times New Roman" w:hAnsi="Times New Roman" w:cs="Times New Roman"/>
          <w:sz w:val="24"/>
          <w:szCs w:val="24"/>
        </w:rPr>
        <w:t xml:space="preserve">the college’s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targeted metrics within this QFE</w:t>
      </w:r>
      <w:r w:rsidR="00B818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605294" w14:textId="77777777" w:rsidR="00D152CD" w:rsidRDefault="00D152CD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B77905" w14:textId="13A93620" w:rsidR="0014471C" w:rsidRDefault="00420D34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30CE5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Institutional Self-Evaluation</w:t>
      </w:r>
      <w:r w:rsidR="00316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Action Plans</w:t>
      </w:r>
    </w:p>
    <w:p w14:paraId="087683A4" w14:textId="77777777" w:rsidR="0095755A" w:rsidRDefault="0095755A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6E5AA" w14:textId="77777777" w:rsidR="00C452F8" w:rsidRDefault="0031605C" w:rsidP="00B264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05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following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action p</w:t>
      </w:r>
      <w:r w:rsidR="00C452F8">
        <w:rPr>
          <w:rFonts w:ascii="Times New Roman" w:eastAsia="Times New Roman" w:hAnsi="Times New Roman" w:cs="Times New Roman"/>
          <w:bCs/>
          <w:sz w:val="24"/>
          <w:szCs w:val="24"/>
        </w:rPr>
        <w:t>lans represent strategies for improving outcomes that were identified in the institutional self-evaluation.</w:t>
      </w:r>
    </w:p>
    <w:p w14:paraId="45A4EDCA" w14:textId="77777777" w:rsidR="0095755A" w:rsidRDefault="0095755A" w:rsidP="00B264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AA8AAF" w14:textId="68DD16F2" w:rsidR="0014471C" w:rsidRPr="0095755A" w:rsidRDefault="00B818FE" w:rsidP="00B264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toward</w:t>
      </w:r>
      <w:r w:rsidR="0014471C" w:rsidRPr="008D1005">
        <w:rPr>
          <w:rFonts w:ascii="Times New Roman" w:eastAsia="Times New Roman" w:hAnsi="Times New Roman" w:cs="Times New Roman"/>
          <w:sz w:val="24"/>
          <w:szCs w:val="24"/>
        </w:rPr>
        <w:t xml:space="preserve"> achieving the</w:t>
      </w:r>
      <w:r w:rsidR="006A30F1">
        <w:rPr>
          <w:rFonts w:ascii="Times New Roman" w:eastAsia="Times New Roman" w:hAnsi="Times New Roman" w:cs="Times New Roman"/>
          <w:sz w:val="24"/>
          <w:szCs w:val="24"/>
        </w:rPr>
        <w:t xml:space="preserve"> six </w:t>
      </w:r>
      <w:r w:rsidR="0014471C" w:rsidRPr="008D1005">
        <w:rPr>
          <w:rFonts w:ascii="Times New Roman" w:eastAsia="Times New Roman" w:hAnsi="Times New Roman" w:cs="Times New Roman"/>
          <w:sz w:val="24"/>
          <w:szCs w:val="24"/>
        </w:rPr>
        <w:t xml:space="preserve">identified institutional metrics in order to meet </w:t>
      </w:r>
      <w:r w:rsidR="00415D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4471C" w:rsidRPr="008D1005">
        <w:rPr>
          <w:rFonts w:ascii="Times New Roman" w:eastAsia="Times New Roman" w:hAnsi="Times New Roman" w:cs="Times New Roman"/>
          <w:sz w:val="24"/>
          <w:szCs w:val="24"/>
        </w:rPr>
        <w:t xml:space="preserve">Education Master Plan goal by 2020. (Standard I.B.3) </w:t>
      </w:r>
    </w:p>
    <w:p w14:paraId="1C22DB88" w14:textId="2BB235B5" w:rsidR="0096206D" w:rsidRPr="0096206D" w:rsidRDefault="0014471C" w:rsidP="0095755A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In 2016, College Council 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t>asked the Academic Senate to take the lead in addressing</w:t>
      </w:r>
      <w:r w:rsidR="006A30F1" w:rsidRPr="0095755A">
        <w:rPr>
          <w:rFonts w:ascii="Times New Roman" w:eastAsia="Times New Roman" w:hAnsi="Times New Roman" w:cs="Times New Roman"/>
          <w:sz w:val="24"/>
          <w:szCs w:val="24"/>
        </w:rPr>
        <w:t xml:space="preserve"> six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>institutional metrics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D31081" w:rsidRPr="0095755A">
        <w:rPr>
          <w:rFonts w:ascii="Times New Roman" w:eastAsia="Times New Roman" w:hAnsi="Times New Roman" w:cs="Times New Roman"/>
          <w:sz w:val="24"/>
          <w:szCs w:val="24"/>
        </w:rPr>
        <w:t xml:space="preserve">it seemed 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t xml:space="preserve">the college </w:t>
      </w:r>
      <w:r w:rsidR="00D31081" w:rsidRPr="0095755A">
        <w:rPr>
          <w:rFonts w:ascii="Times New Roman" w:eastAsia="Times New Roman" w:hAnsi="Times New Roman" w:cs="Times New Roman"/>
          <w:sz w:val="24"/>
          <w:szCs w:val="24"/>
        </w:rPr>
        <w:t xml:space="preserve">may not meet 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t xml:space="preserve">by 2020. 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t xml:space="preserve">Academic Senate 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t xml:space="preserve">identified key stakeholders to develop plans for improving performance on these metrics, including steps for implementation, 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lastRenderedPageBreak/>
        <w:t>monitoring and assessment of improvement eff</w:t>
      </w:r>
      <w:r w:rsidR="00F04789" w:rsidRPr="008D1005">
        <w:rPr>
          <w:rFonts w:ascii="Times New Roman" w:eastAsia="Times New Roman" w:hAnsi="Times New Roman" w:cs="Times New Roman"/>
          <w:sz w:val="24"/>
          <w:szCs w:val="24"/>
        </w:rPr>
        <w:t>orts. The s</w:t>
      </w:r>
      <w:r w:rsidRPr="008D1005">
        <w:rPr>
          <w:rFonts w:ascii="Times New Roman" w:eastAsia="Times New Roman" w:hAnsi="Times New Roman" w:cs="Times New Roman"/>
          <w:sz w:val="24"/>
          <w:szCs w:val="24"/>
        </w:rPr>
        <w:t>takeholders will present their plans to College Council and provide a quarterly status report.</w:t>
      </w:r>
    </w:p>
    <w:p w14:paraId="207270D9" w14:textId="77777777" w:rsidR="0096206D" w:rsidRPr="0096206D" w:rsidRDefault="0096206D" w:rsidP="00B2642B">
      <w:pPr>
        <w:spacing w:after="0" w:line="240" w:lineRule="auto"/>
        <w:ind w:left="1080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</w:p>
    <w:p w14:paraId="78D4AA92" w14:textId="3D757E2F" w:rsidR="0014471C" w:rsidRPr="008D1005" w:rsidRDefault="0014471C" w:rsidP="00B264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D1005">
        <w:rPr>
          <w:rFonts w:ascii="Times New Roman" w:eastAsia="Times New Roman" w:hAnsi="Times New Roman" w:cs="Times New Roman"/>
          <w:sz w:val="24"/>
          <w:szCs w:val="24"/>
        </w:rPr>
        <w:t xml:space="preserve">Increase training </w:t>
      </w:r>
      <w:r w:rsidR="00F04789" w:rsidRPr="008D1005">
        <w:rPr>
          <w:rFonts w:ascii="Times New Roman" w:eastAsia="Times New Roman" w:hAnsi="Times New Roman" w:cs="Times New Roman"/>
          <w:sz w:val="24"/>
          <w:szCs w:val="24"/>
        </w:rPr>
        <w:t>for institutional planning, program review</w:t>
      </w:r>
      <w:r w:rsidRPr="008D1005">
        <w:rPr>
          <w:rFonts w:ascii="Times New Roman" w:eastAsia="Times New Roman" w:hAnsi="Times New Roman" w:cs="Times New Roman"/>
          <w:sz w:val="24"/>
          <w:szCs w:val="24"/>
        </w:rPr>
        <w:t xml:space="preserve"> and resource allocations. (Standard III.A.14)</w:t>
      </w:r>
    </w:p>
    <w:p w14:paraId="11A0AA23" w14:textId="107CD42A" w:rsidR="0014471C" w:rsidRPr="0095755A" w:rsidRDefault="0014471C" w:rsidP="0095755A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Work with the </w:t>
      </w:r>
      <w:r w:rsidR="00F04789" w:rsidRPr="0095755A">
        <w:rPr>
          <w:rFonts w:ascii="Times New Roman" w:eastAsia="Times New Roman" w:hAnsi="Times New Roman" w:cs="Times New Roman"/>
          <w:sz w:val="24"/>
          <w:szCs w:val="24"/>
        </w:rPr>
        <w:t xml:space="preserve">Office of Professional Development and the planning and budget teams 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A30F1" w:rsidRPr="0095755A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A553B5" w:rsidRPr="0095755A">
        <w:rPr>
          <w:rFonts w:ascii="Times New Roman" w:eastAsia="Times New Roman" w:hAnsi="Times New Roman" w:cs="Times New Roman"/>
          <w:sz w:val="24"/>
          <w:szCs w:val="24"/>
        </w:rPr>
        <w:t xml:space="preserve">faculty and staff members with </w:t>
      </w:r>
      <w:r w:rsidR="006A30F1" w:rsidRPr="0095755A">
        <w:rPr>
          <w:rFonts w:ascii="Times New Roman" w:eastAsia="Times New Roman" w:hAnsi="Times New Roman" w:cs="Times New Roman"/>
          <w:sz w:val="24"/>
          <w:szCs w:val="24"/>
        </w:rPr>
        <w:t xml:space="preserve">training and information </w:t>
      </w:r>
      <w:r w:rsidR="00A553B5" w:rsidRPr="0095755A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6A30F1" w:rsidRPr="00957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3B5" w:rsidRPr="0095755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A30F1" w:rsidRPr="0095755A">
        <w:rPr>
          <w:rFonts w:ascii="Times New Roman" w:eastAsia="Times New Roman" w:hAnsi="Times New Roman" w:cs="Times New Roman"/>
          <w:sz w:val="24"/>
          <w:szCs w:val="24"/>
        </w:rPr>
        <w:t>institutional planning</w:t>
      </w:r>
      <w:r w:rsidR="00A553B5" w:rsidRPr="0095755A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="006A30F1" w:rsidRPr="00957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53B5" w:rsidRPr="0095755A">
        <w:rPr>
          <w:rFonts w:ascii="Times New Roman" w:eastAsia="Times New Roman" w:hAnsi="Times New Roman" w:cs="Times New Roman"/>
          <w:sz w:val="24"/>
          <w:szCs w:val="24"/>
        </w:rPr>
        <w:t>with the goals</w:t>
      </w:r>
      <w:r w:rsidR="006A30F1" w:rsidRPr="0095755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3C0127" w:rsidRPr="0095755A">
        <w:rPr>
          <w:rFonts w:ascii="Times New Roman" w:eastAsia="Times New Roman" w:hAnsi="Times New Roman" w:cs="Times New Roman"/>
          <w:sz w:val="24"/>
          <w:szCs w:val="24"/>
        </w:rPr>
        <w:t xml:space="preserve">improving </w:t>
      </w:r>
      <w:r w:rsidR="00A553B5" w:rsidRPr="0095755A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understanding </w:t>
      </w:r>
      <w:r w:rsidR="00A553B5" w:rsidRPr="0095755A">
        <w:rPr>
          <w:rFonts w:ascii="Times New Roman" w:eastAsia="Times New Roman" w:hAnsi="Times New Roman" w:cs="Times New Roman"/>
          <w:sz w:val="24"/>
          <w:szCs w:val="24"/>
        </w:rPr>
        <w:t>and increasing engagement in the process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D8703C0" w14:textId="77777777" w:rsidR="0096206D" w:rsidRPr="0096206D" w:rsidRDefault="0096206D" w:rsidP="00B2642B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5BABC75F" w14:textId="3E301A21" w:rsidR="0014471C" w:rsidRPr="008D1005" w:rsidRDefault="0014471C" w:rsidP="00B264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D1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Continue </w:t>
      </w:r>
      <w:r w:rsidR="009620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college’s </w:t>
      </w:r>
      <w:r w:rsidRPr="008D1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commitment to Student Learn</w:t>
      </w:r>
      <w:r w:rsidR="009620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 Outcomes work at all levels:</w:t>
      </w:r>
      <w:r w:rsid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SSLO, SLO, AUO, PLO and</w:t>
      </w:r>
      <w:r w:rsidRPr="008D1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ILO. (Standard I.B.2)</w:t>
      </w:r>
    </w:p>
    <w:p w14:paraId="490A9142" w14:textId="3C80D5F1" w:rsidR="00743829" w:rsidRPr="0095755A" w:rsidRDefault="0014471C" w:rsidP="0095755A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Continue to refine </w:t>
      </w:r>
      <w:r w:rsidR="0096206D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data collection system for Outcomes Assessment (TracDat) with an aim toward more easily integrating assessment data in </w:t>
      </w:r>
      <w:r w:rsidR="008D1005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rogram </w:t>
      </w:r>
      <w:r w:rsidR="008D1005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eview documents</w:t>
      </w:r>
      <w:r w:rsidR="00743829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B721F8" w14:textId="1979E9C1" w:rsidR="00743829" w:rsidRPr="0095755A" w:rsidRDefault="00743829" w:rsidP="0095755A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Make 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data submission process easier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through steps such as </w:t>
      </w:r>
      <w:r w:rsidR="00A553B5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encouraging</w:t>
      </w:r>
      <w:r w:rsidR="00AD544A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of the “Assignments”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feature in the TracDat system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27CBB67" w14:textId="77777777" w:rsidR="00743829" w:rsidRPr="0095755A" w:rsidRDefault="00743829" w:rsidP="0095755A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Work 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Nuventive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TracDat developer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improve reports generated by the system.</w:t>
      </w:r>
    </w:p>
    <w:p w14:paraId="680C6C5D" w14:textId="553BA6ED" w:rsidR="0014471C" w:rsidRPr="0095755A" w:rsidRDefault="00743829" w:rsidP="0095755A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Promote the need for 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ongoing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assessment cycles through 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regularly scheduled workshops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conjunction 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the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ffice of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rofessional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evelopment,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well as 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Opening Day activities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24D94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workshops, weekly “drop-in help”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office hours for fa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ulty, and the annual </w:t>
      </w:r>
      <w:r w:rsidR="00D24D94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4471C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onvocation.</w:t>
      </w:r>
    </w:p>
    <w:p w14:paraId="6C7FA929" w14:textId="77777777" w:rsidR="00D24D94" w:rsidRPr="00D24D94" w:rsidRDefault="00D24D94" w:rsidP="00B2642B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3FA6185B" w14:textId="77777777" w:rsidR="0014471C" w:rsidRPr="008D1005" w:rsidRDefault="0014471C" w:rsidP="00B264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D1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Continue to advance the college's commitment to equity (Standard I.B.2) </w:t>
      </w:r>
    </w:p>
    <w:p w14:paraId="62013C77" w14:textId="06C31868" w:rsidR="0014471C" w:rsidRPr="0095755A" w:rsidRDefault="0014471C" w:rsidP="0095755A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 and better integrate programs and services that directly address issues of equity among our students and within our institution</w:t>
      </w:r>
      <w:r w:rsidR="003C0127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 collaboration between </w:t>
      </w:r>
      <w:r w:rsidR="003C0127"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offices of </w:t>
      </w:r>
      <w:r w:rsidRPr="0095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Instruction and Student Services. </w:t>
      </w:r>
    </w:p>
    <w:p w14:paraId="539B348B" w14:textId="77777777" w:rsidR="00D24D94" w:rsidRPr="00D24D94" w:rsidRDefault="00D24D94" w:rsidP="00B2642B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6479802A" w14:textId="651D8460" w:rsidR="0014471C" w:rsidRPr="008D1005" w:rsidRDefault="0014471C" w:rsidP="00B264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D1005">
        <w:rPr>
          <w:rFonts w:ascii="Times New Roman" w:eastAsia="Times New Roman" w:hAnsi="Times New Roman" w:cs="Times New Roman"/>
          <w:sz w:val="24"/>
          <w:szCs w:val="24"/>
        </w:rPr>
        <w:t>Improve the dissemination</w:t>
      </w:r>
      <w:r w:rsidR="003C0127">
        <w:rPr>
          <w:rFonts w:ascii="Times New Roman" w:eastAsia="Times New Roman" w:hAnsi="Times New Roman" w:cs="Times New Roman"/>
          <w:sz w:val="24"/>
          <w:szCs w:val="24"/>
        </w:rPr>
        <w:t xml:space="preserve"> of information</w:t>
      </w:r>
      <w:r w:rsidRPr="008D1005">
        <w:rPr>
          <w:rFonts w:ascii="Times New Roman" w:eastAsia="Times New Roman" w:hAnsi="Times New Roman" w:cs="Times New Roman"/>
          <w:sz w:val="24"/>
          <w:szCs w:val="24"/>
        </w:rPr>
        <w:t xml:space="preserve"> from the planning and budget teams </w:t>
      </w:r>
      <w:r w:rsidR="00D24D94">
        <w:rPr>
          <w:rFonts w:ascii="Times New Roman" w:eastAsia="Times New Roman" w:hAnsi="Times New Roman" w:cs="Times New Roman"/>
          <w:sz w:val="24"/>
          <w:szCs w:val="24"/>
        </w:rPr>
        <w:t xml:space="preserve">(PBTs) </w:t>
      </w:r>
      <w:r w:rsidRPr="008D1005">
        <w:rPr>
          <w:rFonts w:ascii="Times New Roman" w:eastAsia="Times New Roman" w:hAnsi="Times New Roman" w:cs="Times New Roman"/>
          <w:sz w:val="24"/>
          <w:szCs w:val="24"/>
        </w:rPr>
        <w:t>to the campus community. (Standard IV.A.5)</w:t>
      </w:r>
    </w:p>
    <w:p w14:paraId="6600CF41" w14:textId="77777777" w:rsidR="003C0127" w:rsidRPr="0095755A" w:rsidRDefault="0014471C" w:rsidP="0095755A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sz w:val="24"/>
          <w:szCs w:val="24"/>
        </w:rPr>
        <w:t>Under the direction of College Council, the College Planning Committee will lead an assessment of how information is currently being disseminated and accessed by various groups.</w:t>
      </w:r>
    </w:p>
    <w:p w14:paraId="2436AA6B" w14:textId="74B7905B" w:rsidR="0014471C" w:rsidRPr="0095755A" w:rsidRDefault="0014471C" w:rsidP="0095755A">
      <w:pPr>
        <w:pStyle w:val="ListParagraph"/>
        <w:numPr>
          <w:ilvl w:val="0"/>
          <w:numId w:val="13"/>
        </w:numPr>
        <w:spacing w:after="0" w:line="240" w:lineRule="auto"/>
        <w:ind w:left="144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95755A">
        <w:rPr>
          <w:rFonts w:ascii="Times New Roman" w:eastAsia="Times New Roman" w:hAnsi="Times New Roman" w:cs="Times New Roman"/>
          <w:sz w:val="24"/>
          <w:szCs w:val="24"/>
        </w:rPr>
        <w:t>Identify ways to improve communication before and after proposed changes take place</w:t>
      </w:r>
      <w:r w:rsidR="003C0127" w:rsidRPr="009575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 as well as </w:t>
      </w:r>
      <w:r w:rsidR="003C0127" w:rsidRPr="0095755A">
        <w:rPr>
          <w:rFonts w:ascii="Times New Roman" w:eastAsia="Times New Roman" w:hAnsi="Times New Roman" w:cs="Times New Roman"/>
          <w:sz w:val="24"/>
          <w:szCs w:val="24"/>
        </w:rPr>
        <w:t xml:space="preserve">communication about 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 xml:space="preserve">how changes </w:t>
      </w:r>
      <w:r w:rsidR="003C0127" w:rsidRPr="0095755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95755A">
        <w:rPr>
          <w:rFonts w:ascii="Times New Roman" w:eastAsia="Times New Roman" w:hAnsi="Times New Roman" w:cs="Times New Roman"/>
          <w:sz w:val="24"/>
          <w:szCs w:val="24"/>
        </w:rPr>
        <w:t>impact other areas.</w:t>
      </w:r>
    </w:p>
    <w:p w14:paraId="386C3B81" w14:textId="77777777" w:rsidR="00D24D94" w:rsidRPr="00D24D94" w:rsidRDefault="00D24D94" w:rsidP="00B2642B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0F4BA393" w14:textId="77777777" w:rsidR="006B70BA" w:rsidRPr="006B70BA" w:rsidRDefault="0014471C" w:rsidP="006B70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D1005">
        <w:rPr>
          <w:rFonts w:ascii="Times New Roman" w:eastAsia="Times New Roman" w:hAnsi="Times New Roman" w:cs="Times New Roman"/>
          <w:sz w:val="24"/>
          <w:szCs w:val="24"/>
        </w:rPr>
        <w:t xml:space="preserve"> Improve coordination between the </w:t>
      </w:r>
      <w:r w:rsidR="00D24D94">
        <w:rPr>
          <w:rFonts w:ascii="Times New Roman" w:eastAsia="Times New Roman" w:hAnsi="Times New Roman" w:cs="Times New Roman"/>
          <w:sz w:val="24"/>
          <w:szCs w:val="24"/>
        </w:rPr>
        <w:t>PBTs</w:t>
      </w:r>
      <w:r w:rsidR="004731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1005">
        <w:rPr>
          <w:rFonts w:ascii="Times New Roman" w:eastAsia="Times New Roman" w:hAnsi="Times New Roman" w:cs="Times New Roman"/>
          <w:sz w:val="24"/>
          <w:szCs w:val="24"/>
        </w:rPr>
        <w:t xml:space="preserve"> (Standard I.B.9)</w:t>
      </w:r>
    </w:p>
    <w:p w14:paraId="5CCE00BD" w14:textId="63CF02BC" w:rsidR="0014471C" w:rsidRPr="006B70BA" w:rsidRDefault="0014471C" w:rsidP="006B70BA">
      <w:pPr>
        <w:pStyle w:val="ListParagraph"/>
        <w:numPr>
          <w:ilvl w:val="0"/>
          <w:numId w:val="18"/>
        </w:numPr>
        <w:spacing w:after="0" w:line="240" w:lineRule="auto"/>
        <w:ind w:left="144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6B70BA">
        <w:rPr>
          <w:rFonts w:ascii="Times New Roman" w:eastAsia="Times New Roman" w:hAnsi="Times New Roman" w:cs="Times New Roman"/>
          <w:sz w:val="24"/>
          <w:szCs w:val="24"/>
        </w:rPr>
        <w:t xml:space="preserve">Improve integration between the PBTs </w:t>
      </w:r>
      <w:r w:rsidR="003C0127" w:rsidRPr="006B70BA">
        <w:rPr>
          <w:rFonts w:ascii="Times New Roman" w:eastAsia="Times New Roman" w:hAnsi="Times New Roman" w:cs="Times New Roman"/>
          <w:sz w:val="24"/>
          <w:szCs w:val="24"/>
        </w:rPr>
        <w:t xml:space="preserve">on matters such as </w:t>
      </w:r>
      <w:r w:rsidRPr="006B70BA">
        <w:rPr>
          <w:rFonts w:ascii="Times New Roman" w:eastAsia="Times New Roman" w:hAnsi="Times New Roman" w:cs="Times New Roman"/>
          <w:sz w:val="24"/>
          <w:szCs w:val="24"/>
        </w:rPr>
        <w:t>resource allocation and</w:t>
      </w:r>
      <w:r w:rsidR="003C0127" w:rsidRPr="006B70BA">
        <w:rPr>
          <w:rFonts w:ascii="Times New Roman" w:eastAsia="Times New Roman" w:hAnsi="Times New Roman" w:cs="Times New Roman"/>
          <w:sz w:val="24"/>
          <w:szCs w:val="24"/>
        </w:rPr>
        <w:t xml:space="preserve"> hiring, so as to have </w:t>
      </w:r>
      <w:r w:rsidR="00D24D94" w:rsidRPr="006B70BA">
        <w:rPr>
          <w:rFonts w:ascii="Times New Roman" w:eastAsia="Times New Roman" w:hAnsi="Times New Roman" w:cs="Times New Roman"/>
          <w:sz w:val="24"/>
          <w:szCs w:val="24"/>
        </w:rPr>
        <w:t>a college-driven process in which</w:t>
      </w:r>
      <w:r w:rsidRPr="006B70BA">
        <w:rPr>
          <w:rFonts w:ascii="Times New Roman" w:eastAsia="Times New Roman" w:hAnsi="Times New Roman" w:cs="Times New Roman"/>
          <w:sz w:val="24"/>
          <w:szCs w:val="24"/>
        </w:rPr>
        <w:t xml:space="preserve"> members of College Council provide leadership and </w:t>
      </w:r>
      <w:r w:rsidR="00D24D94" w:rsidRPr="006B70BA">
        <w:rPr>
          <w:rFonts w:ascii="Times New Roman" w:eastAsia="Times New Roman" w:hAnsi="Times New Roman" w:cs="Times New Roman"/>
          <w:sz w:val="24"/>
          <w:szCs w:val="24"/>
        </w:rPr>
        <w:t xml:space="preserve">guidance </w:t>
      </w:r>
      <w:r w:rsidRPr="006B70BA">
        <w:rPr>
          <w:rFonts w:ascii="Times New Roman" w:eastAsia="Times New Roman" w:hAnsi="Times New Roman" w:cs="Times New Roman"/>
          <w:sz w:val="24"/>
          <w:szCs w:val="24"/>
        </w:rPr>
        <w:t xml:space="preserve">as opposed to </w:t>
      </w:r>
      <w:r w:rsidR="00D24D94" w:rsidRPr="006B70BA">
        <w:rPr>
          <w:rFonts w:ascii="Times New Roman" w:eastAsia="Times New Roman" w:hAnsi="Times New Roman" w:cs="Times New Roman"/>
          <w:sz w:val="24"/>
          <w:szCs w:val="24"/>
        </w:rPr>
        <w:t xml:space="preserve">merely </w:t>
      </w:r>
      <w:r w:rsidRPr="006B70BA">
        <w:rPr>
          <w:rFonts w:ascii="Times New Roman" w:eastAsia="Times New Roman" w:hAnsi="Times New Roman" w:cs="Times New Roman"/>
          <w:sz w:val="24"/>
          <w:szCs w:val="24"/>
        </w:rPr>
        <w:t xml:space="preserve">receiving information. This </w:t>
      </w:r>
      <w:r w:rsidR="00D24D94" w:rsidRPr="006B70BA">
        <w:rPr>
          <w:rFonts w:ascii="Times New Roman" w:eastAsia="Times New Roman" w:hAnsi="Times New Roman" w:cs="Times New Roman"/>
          <w:sz w:val="24"/>
          <w:szCs w:val="24"/>
        </w:rPr>
        <w:t xml:space="preserve">is aimed at </w:t>
      </w:r>
      <w:r w:rsidRPr="006B70BA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D24D94" w:rsidRPr="006B70B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6B70BA">
        <w:rPr>
          <w:rFonts w:ascii="Times New Roman" w:eastAsia="Times New Roman" w:hAnsi="Times New Roman" w:cs="Times New Roman"/>
          <w:sz w:val="24"/>
          <w:szCs w:val="24"/>
        </w:rPr>
        <w:t xml:space="preserve"> the c</w:t>
      </w:r>
      <w:r w:rsidR="003C0127" w:rsidRPr="006B70BA">
        <w:rPr>
          <w:rFonts w:ascii="Times New Roman" w:eastAsia="Times New Roman" w:hAnsi="Times New Roman" w:cs="Times New Roman"/>
          <w:sz w:val="24"/>
          <w:szCs w:val="24"/>
        </w:rPr>
        <w:t xml:space="preserve">ampus community </w:t>
      </w:r>
      <w:r w:rsidRPr="006B70BA">
        <w:rPr>
          <w:rFonts w:ascii="Times New Roman" w:eastAsia="Times New Roman" w:hAnsi="Times New Roman" w:cs="Times New Roman"/>
          <w:sz w:val="24"/>
          <w:szCs w:val="24"/>
        </w:rPr>
        <w:t xml:space="preserve">better understand how </w:t>
      </w:r>
      <w:r w:rsidR="003C0127" w:rsidRPr="006B70BA">
        <w:rPr>
          <w:rFonts w:ascii="Times New Roman" w:eastAsia="Times New Roman" w:hAnsi="Times New Roman" w:cs="Times New Roman"/>
          <w:sz w:val="24"/>
          <w:szCs w:val="24"/>
        </w:rPr>
        <w:t xml:space="preserve">factors such as </w:t>
      </w:r>
      <w:r w:rsidRPr="006B70BA">
        <w:rPr>
          <w:rFonts w:ascii="Times New Roman" w:eastAsia="Times New Roman" w:hAnsi="Times New Roman" w:cs="Times New Roman"/>
          <w:sz w:val="24"/>
          <w:szCs w:val="24"/>
        </w:rPr>
        <w:t xml:space="preserve">hiring, reductions and program viability affect the college as a whole. College Council will serve as the lead for integration and ask for a status update from the PBTs at each meeting to increase the sharing and discussion of information.  </w:t>
      </w:r>
    </w:p>
    <w:p w14:paraId="3AB82B43" w14:textId="1617D779" w:rsidR="00D041ED" w:rsidRDefault="00D041ED" w:rsidP="006B70BA">
      <w:pPr>
        <w:spacing w:after="0" w:line="240" w:lineRule="auto"/>
        <w:ind w:left="1260" w:firstLine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1795B" w14:textId="46607C6F" w:rsidR="00325989" w:rsidRDefault="00325989" w:rsidP="006B70BA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CDF10F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dentification of Action Projects</w:t>
      </w:r>
    </w:p>
    <w:p w14:paraId="6F8D8D13" w14:textId="75A9FA8B" w:rsidR="00325989" w:rsidRDefault="00325989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F77A16">
        <w:rPr>
          <w:rFonts w:ascii="Times New Roman" w:eastAsia="Times New Roman" w:hAnsi="Times New Roman" w:cs="Times New Roman"/>
          <w:sz w:val="24"/>
          <w:szCs w:val="24"/>
        </w:rPr>
        <w:t>De Anza College’s Accreditation Steering Committee met month</w:t>
      </w:r>
      <w:r w:rsidR="009A3E83">
        <w:rPr>
          <w:rFonts w:ascii="Times New Roman" w:eastAsia="Times New Roman" w:hAnsi="Times New Roman" w:cs="Times New Roman"/>
          <w:sz w:val="24"/>
          <w:szCs w:val="24"/>
        </w:rPr>
        <w:t>ly during the ISER preparation period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to review progress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work on the standards it had been assigned to evaluate.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In winter 2017, two themes emerged from the action plans identified in the self-evaluation report. These themes are linked to multiple standards an</w:t>
      </w:r>
      <w:r>
        <w:rPr>
          <w:rFonts w:ascii="Times New Roman" w:eastAsia="Times New Roman" w:hAnsi="Times New Roman" w:cs="Times New Roman"/>
          <w:sz w:val="24"/>
          <w:szCs w:val="24"/>
        </w:rPr>
        <w:t>d are deeply rooted in long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standing work at the college. </w:t>
      </w:r>
    </w:p>
    <w:p w14:paraId="5A356EF4" w14:textId="77777777" w:rsidR="009A3E83" w:rsidRDefault="009A3E83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28962" w14:textId="276C7C98" w:rsidR="00325989" w:rsidRDefault="00325989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discussion by the committee, the members agreed to share the themes with the constituency groups they represent.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The themes were then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presented to 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>the board of t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rustees at 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February 2017 study session. The steering committee took responsibility 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drafting the QFE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which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, together with the full report, were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presented to shared governance groups </w:t>
      </w:r>
      <w:r>
        <w:rPr>
          <w:rFonts w:ascii="Times New Roman" w:eastAsia="Times New Roman" w:hAnsi="Times New Roman" w:cs="Times New Roman"/>
          <w:sz w:val="24"/>
          <w:szCs w:val="24"/>
        </w:rPr>
        <w:t>for dialogue and feedback in spring 2017.</w:t>
      </w:r>
    </w:p>
    <w:p w14:paraId="4EEE6F64" w14:textId="77777777" w:rsidR="009A3E83" w:rsidRDefault="009A3E83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F705F" w14:textId="01DD857D" w:rsidR="00325989" w:rsidRDefault="00325989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final draft of the QFE incorporates f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eedback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Academic Senate, Classified Senate, Instructional Planning and Budget Team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 (IPBT)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, Student Services Planning and Budget Team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 (SSPBT)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, Finance and College Operations Planning and Bud</w:t>
      </w:r>
      <w:r>
        <w:rPr>
          <w:rFonts w:ascii="Times New Roman" w:eastAsia="Times New Roman" w:hAnsi="Times New Roman" w:cs="Times New Roman"/>
          <w:sz w:val="24"/>
          <w:szCs w:val="24"/>
        </w:rPr>
        <w:t>get Team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 (FCOPBT)</w:t>
      </w:r>
      <w:r>
        <w:rPr>
          <w:rFonts w:ascii="Times New Roman" w:eastAsia="Times New Roman" w:hAnsi="Times New Roman" w:cs="Times New Roman"/>
          <w:sz w:val="24"/>
          <w:szCs w:val="24"/>
        </w:rPr>
        <w:t>, Equity Action Council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(EAC)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and College Council</w:t>
      </w:r>
      <w:r>
        <w:rPr>
          <w:rFonts w:ascii="Times New Roman" w:eastAsia="Times New Roman" w:hAnsi="Times New Roman" w:cs="Times New Roman"/>
          <w:sz w:val="24"/>
          <w:szCs w:val="24"/>
        </w:rPr>
        <w:t>. The Academic Senate and College Council approved the final draft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in May 2017. </w:t>
      </w:r>
    </w:p>
    <w:p w14:paraId="2C34269F" w14:textId="77777777" w:rsidR="009A3E83" w:rsidRDefault="009A3E83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9C197" w14:textId="04BAE20B" w:rsidR="00420D34" w:rsidRDefault="00420D34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F77A1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>e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table 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below identifies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the links between QFE t</w:t>
      </w:r>
      <w:r>
        <w:rPr>
          <w:rFonts w:ascii="Times New Roman" w:eastAsia="Times New Roman" w:hAnsi="Times New Roman" w:cs="Times New Roman"/>
          <w:sz w:val="24"/>
          <w:szCs w:val="24"/>
        </w:rPr>
        <w:t>hemes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, action plans 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>and the accreditation standards.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F59E4" w14:textId="77777777" w:rsidR="00E95F9E" w:rsidRDefault="00E95F9E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9"/>
      </w:tblGrid>
      <w:tr w:rsidR="00420D34" w14:paraId="390F1FFA" w14:textId="77777777" w:rsidTr="006A30F1">
        <w:trPr>
          <w:trHeight w:val="242"/>
        </w:trPr>
        <w:tc>
          <w:tcPr>
            <w:tcW w:w="3087" w:type="dxa"/>
          </w:tcPr>
          <w:p w14:paraId="6CC47F44" w14:textId="77777777" w:rsidR="00420D34" w:rsidRPr="007B7391" w:rsidRDefault="00420D34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QFE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heme</w:t>
            </w:r>
          </w:p>
        </w:tc>
        <w:tc>
          <w:tcPr>
            <w:tcW w:w="3087" w:type="dxa"/>
          </w:tcPr>
          <w:p w14:paraId="4953437F" w14:textId="77777777" w:rsidR="00420D34" w:rsidRPr="007B7391" w:rsidRDefault="00420D34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 Plans</w:t>
            </w:r>
          </w:p>
        </w:tc>
        <w:tc>
          <w:tcPr>
            <w:tcW w:w="3089" w:type="dxa"/>
          </w:tcPr>
          <w:p w14:paraId="1A513947" w14:textId="77777777" w:rsidR="00420D34" w:rsidRPr="007B7391" w:rsidRDefault="00420D34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Standards</w:t>
            </w:r>
          </w:p>
        </w:tc>
      </w:tr>
      <w:tr w:rsidR="00420D34" w14:paraId="35EA5814" w14:textId="77777777" w:rsidTr="006A30F1">
        <w:trPr>
          <w:trHeight w:val="442"/>
        </w:trPr>
        <w:tc>
          <w:tcPr>
            <w:tcW w:w="3087" w:type="dxa"/>
          </w:tcPr>
          <w:p w14:paraId="144A82BB" w14:textId="77777777" w:rsidR="00420D34" w:rsidRDefault="00420D34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>Student Equity</w:t>
            </w:r>
          </w:p>
        </w:tc>
        <w:tc>
          <w:tcPr>
            <w:tcW w:w="3087" w:type="dxa"/>
          </w:tcPr>
          <w:p w14:paraId="0985E94C" w14:textId="77777777" w:rsidR="00420D34" w:rsidRDefault="00420D34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3089" w:type="dxa"/>
          </w:tcPr>
          <w:p w14:paraId="7153C646" w14:textId="77777777" w:rsidR="00420D34" w:rsidRDefault="00420D34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</w:rPr>
              <w:t>Standard I.B.3, Standard I.B.2</w:t>
            </w:r>
          </w:p>
        </w:tc>
      </w:tr>
      <w:tr w:rsidR="00420D34" w14:paraId="059268FA" w14:textId="77777777" w:rsidTr="006A30F1">
        <w:trPr>
          <w:trHeight w:val="663"/>
        </w:trPr>
        <w:tc>
          <w:tcPr>
            <w:tcW w:w="3087" w:type="dxa"/>
          </w:tcPr>
          <w:p w14:paraId="7A41B96D" w14:textId="77777777" w:rsidR="00420D34" w:rsidRDefault="00420D34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Planning and Communication</w:t>
            </w:r>
          </w:p>
        </w:tc>
        <w:tc>
          <w:tcPr>
            <w:tcW w:w="3087" w:type="dxa"/>
          </w:tcPr>
          <w:p w14:paraId="46737359" w14:textId="295C69DC" w:rsidR="00420D34" w:rsidRDefault="00420D34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72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B64" w:rsidRPr="005C58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3089" w:type="dxa"/>
          </w:tcPr>
          <w:p w14:paraId="0E544F2F" w14:textId="77777777" w:rsidR="00725B64" w:rsidRDefault="00420D34" w:rsidP="00B2642B">
            <w:pPr>
              <w:rPr>
                <w:rFonts w:ascii="Times New Roman" w:eastAsia="Times New Roman" w:hAnsi="Times New Roman" w:cs="Times New Roman"/>
              </w:rPr>
            </w:pPr>
            <w:r w:rsidRPr="57F77A16">
              <w:rPr>
                <w:rFonts w:ascii="Times New Roman" w:eastAsia="Times New Roman" w:hAnsi="Times New Roman" w:cs="Times New Roman"/>
              </w:rPr>
              <w:t xml:space="preserve">Standard III.A.14, </w:t>
            </w:r>
            <w:r w:rsidR="00725B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1CF4C6" w14:textId="50CA4B97" w:rsidR="00420D34" w:rsidRPr="005C581F" w:rsidRDefault="00725B64" w:rsidP="00B2642B">
            <w:pPr>
              <w:rPr>
                <w:rFonts w:ascii="Times New Roman" w:eastAsia="Times New Roman" w:hAnsi="Times New Roman" w:cs="Times New Roman"/>
              </w:rPr>
            </w:pPr>
            <w:r w:rsidRPr="005C581F">
              <w:rPr>
                <w:rFonts w:ascii="Times New Roman" w:eastAsia="Times New Roman" w:hAnsi="Times New Roman" w:cs="Times New Roman"/>
              </w:rPr>
              <w:t>Standard I.B.2,</w:t>
            </w:r>
          </w:p>
          <w:p w14:paraId="2FE728CC" w14:textId="77777777" w:rsidR="00420D34" w:rsidRDefault="00420D34" w:rsidP="00B2642B">
            <w:pPr>
              <w:rPr>
                <w:rFonts w:ascii="Times New Roman" w:eastAsia="Times New Roman" w:hAnsi="Times New Roman" w:cs="Times New Roman"/>
              </w:rPr>
            </w:pPr>
            <w:r w:rsidRPr="57F77A16">
              <w:rPr>
                <w:rFonts w:ascii="Times New Roman" w:eastAsia="Times New Roman" w:hAnsi="Times New Roman" w:cs="Times New Roman"/>
              </w:rPr>
              <w:t>Standard IV.A.5,</w:t>
            </w:r>
          </w:p>
          <w:p w14:paraId="5214DDEB" w14:textId="77777777" w:rsidR="00420D34" w:rsidRDefault="00420D34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</w:rPr>
              <w:t>Standard I.B.9</w:t>
            </w:r>
          </w:p>
        </w:tc>
      </w:tr>
    </w:tbl>
    <w:p w14:paraId="52F99398" w14:textId="77777777" w:rsidR="005C581F" w:rsidRDefault="005C581F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00EC5" w14:textId="77777777" w:rsidR="00325989" w:rsidRDefault="00325989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The two action projects that De Anza College identified are outlined in detail </w:t>
      </w:r>
      <w:r>
        <w:rPr>
          <w:rFonts w:ascii="Times New Roman" w:eastAsia="Times New Roman" w:hAnsi="Times New Roman" w:cs="Times New Roman"/>
          <w:sz w:val="24"/>
          <w:szCs w:val="24"/>
        </w:rPr>
        <w:t>below.</w:t>
      </w:r>
    </w:p>
    <w:p w14:paraId="6D4CD4AD" w14:textId="77777777" w:rsidR="00D152CD" w:rsidRDefault="00D152CD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7298ED" w14:textId="64480A18" w:rsidR="00325989" w:rsidRDefault="00325989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 Project </w:t>
      </w:r>
      <w:r w:rsidR="00A50F6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Student Equity</w:t>
      </w:r>
    </w:p>
    <w:p w14:paraId="23787252" w14:textId="77777777" w:rsidR="00E95F9E" w:rsidRDefault="00325989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F77A16">
        <w:rPr>
          <w:rFonts w:ascii="Times New Roman" w:eastAsia="Times New Roman" w:hAnsi="Times New Roman" w:cs="Times New Roman"/>
          <w:sz w:val="24"/>
          <w:szCs w:val="24"/>
        </w:rPr>
        <w:t>Goal: Create a collegewide vision for reaching equitable outcomes for all student groups and a plan to achieve this vision.</w:t>
      </w:r>
    </w:p>
    <w:p w14:paraId="3361A23A" w14:textId="5EC67C3E" w:rsidR="00325989" w:rsidRDefault="00325989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496866" w14:textId="613716A6" w:rsidR="00E95F9E" w:rsidRDefault="00325989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F7315AA">
        <w:rPr>
          <w:rFonts w:ascii="Times New Roman" w:eastAsia="Times New Roman" w:hAnsi="Times New Roman" w:cs="Times New Roman"/>
          <w:sz w:val="24"/>
          <w:szCs w:val="24"/>
        </w:rPr>
        <w:t xml:space="preserve">A collegewide vision for student equity will enable the college to focus its efforts in one direction with a clear plan for </w:t>
      </w:r>
      <w:r w:rsidR="00340B3D">
        <w:rPr>
          <w:rFonts w:ascii="Times New Roman" w:eastAsia="Times New Roman" w:hAnsi="Times New Roman" w:cs="Times New Roman"/>
          <w:sz w:val="24"/>
          <w:szCs w:val="24"/>
        </w:rPr>
        <w:t xml:space="preserve">achieving </w:t>
      </w:r>
      <w:r w:rsidR="00270392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6F7315AA">
        <w:rPr>
          <w:rFonts w:ascii="Times New Roman" w:eastAsia="Times New Roman" w:hAnsi="Times New Roman" w:cs="Times New Roman"/>
          <w:sz w:val="24"/>
          <w:szCs w:val="24"/>
        </w:rPr>
        <w:t>goal. The plan would include a holistic assessment of current practices and policies, a review of what works nationally in order to implement locally, and a collegewide commitment to the vision.</w:t>
      </w:r>
      <w:r w:rsidR="00E95F9E">
        <w:rPr>
          <w:rFonts w:ascii="Times New Roman" w:eastAsia="Times New Roman" w:hAnsi="Times New Roman" w:cs="Times New Roman"/>
          <w:sz w:val="24"/>
          <w:szCs w:val="24"/>
        </w:rPr>
        <w:t xml:space="preserve"> Specific implementation activities are listed in the table below.</w:t>
      </w:r>
    </w:p>
    <w:p w14:paraId="0103D4CF" w14:textId="193E18C8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744"/>
        <w:gridCol w:w="4444"/>
        <w:gridCol w:w="1123"/>
        <w:gridCol w:w="2124"/>
      </w:tblGrid>
      <w:tr w:rsidR="0014471C" w14:paraId="14E6F086" w14:textId="77777777" w:rsidTr="00D063E2">
        <w:trPr>
          <w:trHeight w:val="552"/>
        </w:trPr>
        <w:tc>
          <w:tcPr>
            <w:tcW w:w="1770" w:type="dxa"/>
          </w:tcPr>
          <w:p w14:paraId="0B07B436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Outcome</w:t>
            </w:r>
          </w:p>
        </w:tc>
        <w:tc>
          <w:tcPr>
            <w:tcW w:w="4815" w:type="dxa"/>
          </w:tcPr>
          <w:p w14:paraId="41993922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065" w:type="dxa"/>
          </w:tcPr>
          <w:p w14:paraId="2E31B790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Timeline</w:t>
            </w:r>
          </w:p>
        </w:tc>
        <w:tc>
          <w:tcPr>
            <w:tcW w:w="1785" w:type="dxa"/>
          </w:tcPr>
          <w:p w14:paraId="445BE82D" w14:textId="7E7EEB64" w:rsidR="0014471C" w:rsidRDefault="0014471C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Responsible </w:t>
            </w:r>
            <w:r w:rsidR="0002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Groups/Individual</w:t>
            </w:r>
          </w:p>
        </w:tc>
      </w:tr>
      <w:tr w:rsidR="0014471C" w14:paraId="69B82516" w14:textId="77777777" w:rsidTr="00D063E2">
        <w:trPr>
          <w:trHeight w:val="276"/>
        </w:trPr>
        <w:tc>
          <w:tcPr>
            <w:tcW w:w="1770" w:type="dxa"/>
          </w:tcPr>
          <w:p w14:paraId="7AA606EA" w14:textId="751ED312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Promot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ion of e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quity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ision</w:t>
            </w:r>
          </w:p>
        </w:tc>
        <w:tc>
          <w:tcPr>
            <w:tcW w:w="4815" w:type="dxa"/>
          </w:tcPr>
          <w:p w14:paraId="4E642EBA" w14:textId="72902112" w:rsidR="0014471C" w:rsidRDefault="00340B3D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 and support the president, who has primary responsibility for promoting </w:t>
            </w:r>
            <w:r w:rsidR="0014471C" w:rsidRPr="377A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14471C" w:rsidRPr="377A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collegewide 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471C" w:rsidRPr="377A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746168D0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2017-18</w:t>
            </w:r>
          </w:p>
        </w:tc>
        <w:tc>
          <w:tcPr>
            <w:tcW w:w="1785" w:type="dxa"/>
          </w:tcPr>
          <w:p w14:paraId="57FEEC32" w14:textId="7E52A0EE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taff</w:t>
            </w:r>
          </w:p>
        </w:tc>
      </w:tr>
      <w:tr w:rsidR="0014471C" w14:paraId="4038CC99" w14:textId="77777777" w:rsidTr="00D063E2">
        <w:trPr>
          <w:trHeight w:val="264"/>
        </w:trPr>
        <w:tc>
          <w:tcPr>
            <w:tcW w:w="1770" w:type="dxa"/>
          </w:tcPr>
          <w:p w14:paraId="58739E8C" w14:textId="4DDAD433" w:rsidR="0014471C" w:rsidRDefault="0014471C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Continue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evelopment of Equity Plans</w:t>
            </w:r>
          </w:p>
        </w:tc>
        <w:tc>
          <w:tcPr>
            <w:tcW w:w="4815" w:type="dxa"/>
          </w:tcPr>
          <w:p w14:paraId="66964DBA" w14:textId="686E4CFF" w:rsidR="0014471C" w:rsidRDefault="00340B3D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Continue to support 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and implementation of department and division Equity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2F30D5DA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785" w:type="dxa"/>
          </w:tcPr>
          <w:p w14:paraId="7F88DAA4" w14:textId="655B2130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Deans, 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hairs, Equity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ffice</w:t>
            </w:r>
          </w:p>
        </w:tc>
      </w:tr>
      <w:tr w:rsidR="0014471C" w14:paraId="02B56664" w14:textId="77777777" w:rsidTr="00D063E2">
        <w:trPr>
          <w:trHeight w:val="276"/>
        </w:trPr>
        <w:tc>
          <w:tcPr>
            <w:tcW w:w="1770" w:type="dxa"/>
          </w:tcPr>
          <w:p w14:paraId="5E0DEFB5" w14:textId="6EEC0D55" w:rsidR="0014471C" w:rsidRDefault="00DD4795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of e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ork</w:t>
            </w:r>
          </w:p>
        </w:tc>
        <w:tc>
          <w:tcPr>
            <w:tcW w:w="4815" w:type="dxa"/>
          </w:tcPr>
          <w:p w14:paraId="57B1E2B2" w14:textId="02959937" w:rsidR="0014471C" w:rsidRDefault="0014471C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 equity plans to determine which prototypes are </w:t>
            </w:r>
            <w:r w:rsidR="00340B3D">
              <w:rPr>
                <w:rFonts w:ascii="Times New Roman" w:eastAsia="Times New Roman" w:hAnsi="Times New Roman" w:cs="Times New Roman"/>
                <w:sz w:val="24"/>
                <w:szCs w:val="24"/>
              </w:rPr>
              <w:t>achieving Institutional M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etric goals</w:t>
            </w:r>
            <w:r w:rsidR="0034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determine which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</w:t>
            </w:r>
            <w:r w:rsidR="0034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enhanced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="0034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supported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with equity funding</w:t>
            </w:r>
            <w:r w:rsidR="00340B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14:paraId="5E52AEBD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85" w:type="dxa"/>
          </w:tcPr>
          <w:p w14:paraId="25066DF7" w14:textId="6A9447CB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Equity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ffice</w:t>
            </w:r>
          </w:p>
        </w:tc>
      </w:tr>
      <w:tr w:rsidR="00A553B5" w14:paraId="188A168F" w14:textId="77777777" w:rsidTr="00D063E2">
        <w:trPr>
          <w:trHeight w:val="276"/>
        </w:trPr>
        <w:tc>
          <w:tcPr>
            <w:tcW w:w="1770" w:type="dxa"/>
          </w:tcPr>
          <w:p w14:paraId="4A931D4B" w14:textId="049023B3" w:rsidR="00A553B5" w:rsidRDefault="00A553B5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of equity work nationally</w:t>
            </w:r>
          </w:p>
        </w:tc>
        <w:tc>
          <w:tcPr>
            <w:tcW w:w="4815" w:type="dxa"/>
          </w:tcPr>
          <w:p w14:paraId="08D79E11" w14:textId="2DF1755D" w:rsidR="00A553B5" w:rsidRPr="7DDA85E2" w:rsidRDefault="00A553B5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 a review of equity practices nationally to identify effective strategies for De Anza</w:t>
            </w:r>
          </w:p>
        </w:tc>
        <w:tc>
          <w:tcPr>
            <w:tcW w:w="1065" w:type="dxa"/>
          </w:tcPr>
          <w:p w14:paraId="52D7A128" w14:textId="23304232" w:rsidR="00A553B5" w:rsidRPr="6FAF2D0B" w:rsidRDefault="00A553B5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85" w:type="dxa"/>
          </w:tcPr>
          <w:p w14:paraId="354E511A" w14:textId="084BC102" w:rsidR="00A553B5" w:rsidRPr="7DDA85E2" w:rsidRDefault="00B12BB8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Equity O</w:t>
            </w:r>
            <w:r w:rsidR="00A553B5">
              <w:rPr>
                <w:rFonts w:ascii="Times New Roman" w:eastAsia="Times New Roman" w:hAnsi="Times New Roman" w:cs="Times New Roman"/>
                <w:sz w:val="24"/>
                <w:szCs w:val="24"/>
              </w:rPr>
              <w:t>ffice</w:t>
            </w:r>
          </w:p>
        </w:tc>
      </w:tr>
      <w:tr w:rsidR="0014471C" w14:paraId="660A09AB" w14:textId="77777777" w:rsidTr="00A553B5">
        <w:trPr>
          <w:trHeight w:val="953"/>
        </w:trPr>
        <w:tc>
          <w:tcPr>
            <w:tcW w:w="1770" w:type="dxa"/>
          </w:tcPr>
          <w:p w14:paraId="0425ACA6" w14:textId="6556377D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Equity Plans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linked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eview</w:t>
            </w:r>
          </w:p>
        </w:tc>
        <w:tc>
          <w:tcPr>
            <w:tcW w:w="4815" w:type="dxa"/>
          </w:tcPr>
          <w:p w14:paraId="345D1720" w14:textId="10FB2FA9" w:rsidR="0014471C" w:rsidRDefault="00DD4795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ncorporate the department equity action plans into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Annual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>Program Review Update (APRU) f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 by PBTs.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724D07A5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85" w:type="dxa"/>
          </w:tcPr>
          <w:p w14:paraId="102B3E84" w14:textId="6DB4B8E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PBT 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hairs</w:t>
            </w:r>
          </w:p>
        </w:tc>
      </w:tr>
      <w:tr w:rsidR="0014471C" w14:paraId="30668F4B" w14:textId="77777777" w:rsidTr="00D063E2">
        <w:trPr>
          <w:trHeight w:val="276"/>
        </w:trPr>
        <w:tc>
          <w:tcPr>
            <w:tcW w:w="1770" w:type="dxa"/>
          </w:tcPr>
          <w:p w14:paraId="2A21DC69" w14:textId="68FC1643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 work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linked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to Equity Plans</w:t>
            </w:r>
          </w:p>
        </w:tc>
        <w:tc>
          <w:tcPr>
            <w:tcW w:w="4815" w:type="dxa"/>
          </w:tcPr>
          <w:p w14:paraId="70116236" w14:textId="24FAAD90" w:rsidR="0014471C" w:rsidRDefault="0014471C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>Encourage integration of program SLOs, SSLO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AUOs with equity plan goals so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assessments are linked to an equity component, such as the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Institutional Core Competency of 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>Civic Capacity for Global, Cultural, Social and Environmental Justice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14:paraId="65F1A90D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85" w:type="dxa"/>
          </w:tcPr>
          <w:p w14:paraId="02EF463F" w14:textId="4F3D891C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 Steering Committee, Equity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ffice</w:t>
            </w:r>
          </w:p>
        </w:tc>
      </w:tr>
      <w:tr w:rsidR="0014471C" w14:paraId="742CF7ED" w14:textId="77777777" w:rsidTr="00D063E2">
        <w:tc>
          <w:tcPr>
            <w:tcW w:w="1770" w:type="dxa"/>
          </w:tcPr>
          <w:p w14:paraId="6993F0C2" w14:textId="60AB36A1" w:rsidR="0014471C" w:rsidRDefault="00DD4795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 time  available for equity work</w:t>
            </w:r>
          </w:p>
        </w:tc>
        <w:tc>
          <w:tcPr>
            <w:tcW w:w="4815" w:type="dxa"/>
          </w:tcPr>
          <w:p w14:paraId="6B884260" w14:textId="757F89AA" w:rsidR="0014471C" w:rsidRDefault="0014471C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Hold an Equity Flex Day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which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departments and divisions have time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dialogue about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key part in advancing the vision of equity and achieving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college’s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14:paraId="65675F66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85" w:type="dxa"/>
          </w:tcPr>
          <w:p w14:paraId="49C3B614" w14:textId="4A8C619A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of Instruction, Equity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ffice</w:t>
            </w:r>
          </w:p>
        </w:tc>
      </w:tr>
      <w:tr w:rsidR="0014471C" w14:paraId="4DC62711" w14:textId="77777777" w:rsidTr="00D063E2">
        <w:tc>
          <w:tcPr>
            <w:tcW w:w="1770" w:type="dxa"/>
          </w:tcPr>
          <w:p w14:paraId="7C30370E" w14:textId="0776F402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Integrat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ion of planning and e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quity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4815" w:type="dxa"/>
          </w:tcPr>
          <w:p w14:paraId="60BD0CF2" w14:textId="5C97EA28" w:rsidR="0014471C" w:rsidRDefault="0014471C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 current equity metrics into those tracked for the QFE action project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while linking that integration to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all planning documents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4FA6794E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785" w:type="dxa"/>
          </w:tcPr>
          <w:p w14:paraId="40887390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Accreditation Steering Committee</w:t>
            </w:r>
          </w:p>
        </w:tc>
      </w:tr>
      <w:tr w:rsidR="0014471C" w14:paraId="494CABC6" w14:textId="77777777" w:rsidTr="00D063E2">
        <w:tc>
          <w:tcPr>
            <w:tcW w:w="1770" w:type="dxa"/>
          </w:tcPr>
          <w:p w14:paraId="45D58327" w14:textId="053515DE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Advanc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ement of equity vision</w:t>
            </w:r>
          </w:p>
        </w:tc>
        <w:tc>
          <w:tcPr>
            <w:tcW w:w="4815" w:type="dxa"/>
          </w:tcPr>
          <w:p w14:paraId="2B15500D" w14:textId="148CA432" w:rsidR="0014471C" w:rsidRDefault="00DD4795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Continue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>to promote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BB8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s vision on a regular basis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14:paraId="6BACD73D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785" w:type="dxa"/>
          </w:tcPr>
          <w:p w14:paraId="60CA3B2A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14471C" w14:paraId="563C0295" w14:textId="77777777" w:rsidTr="00D063E2">
        <w:tc>
          <w:tcPr>
            <w:tcW w:w="1770" w:type="dxa"/>
          </w:tcPr>
          <w:p w14:paraId="1D66ABE4" w14:textId="6717DC53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Integrat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ion of planning and equity work</w:t>
            </w:r>
          </w:p>
        </w:tc>
        <w:tc>
          <w:tcPr>
            <w:tcW w:w="4815" w:type="dxa"/>
          </w:tcPr>
          <w:p w14:paraId="06DCFEF5" w14:textId="224BD23C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Integrate a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>seven-year equity planning cycle into the c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ollege planning calendar. Have each department and service area develop a plan 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with activities, responsible parties and timelines – for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their area will help achieve this goal in the next </w:t>
            </w:r>
            <w:r w:rsidR="00D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seven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672DA829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85" w:type="dxa"/>
          </w:tcPr>
          <w:p w14:paraId="5D991EB6" w14:textId="75E7D35C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Planning Committee, 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ll departments and service areas</w:t>
            </w:r>
          </w:p>
        </w:tc>
      </w:tr>
      <w:tr w:rsidR="0014471C" w14:paraId="4ED9A208" w14:textId="77777777" w:rsidTr="00D063E2">
        <w:tc>
          <w:tcPr>
            <w:tcW w:w="1770" w:type="dxa"/>
          </w:tcPr>
          <w:p w14:paraId="573BFF7F" w14:textId="5782F49E" w:rsidR="0014471C" w:rsidRDefault="003F79E9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Expansion of 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programs that work to close the equity gap</w:t>
            </w:r>
          </w:p>
        </w:tc>
        <w:tc>
          <w:tcPr>
            <w:tcW w:w="4815" w:type="dxa"/>
          </w:tcPr>
          <w:p w14:paraId="33C57E29" w14:textId="6720F4F3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Continue to assess the First Year </w:t>
            </w:r>
            <w:r w:rsidR="00D0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cohort program and its preliminary success.  Evaluate the feasibility of expanding the program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assess 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what resources are needed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, such as per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sonnel, facilities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, leadership and funding.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3A85A843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785" w:type="dxa"/>
          </w:tcPr>
          <w:p w14:paraId="3494E31D" w14:textId="1E7014F5" w:rsidR="0014471C" w:rsidRDefault="00FC68C3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Outreach O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ffice</w:t>
            </w:r>
          </w:p>
        </w:tc>
      </w:tr>
      <w:tr w:rsidR="0014471C" w14:paraId="7D6065C9" w14:textId="77777777" w:rsidTr="00D063E2">
        <w:tc>
          <w:tcPr>
            <w:tcW w:w="1770" w:type="dxa"/>
          </w:tcPr>
          <w:p w14:paraId="0E29E639" w14:textId="6029321B" w:rsidR="0014471C" w:rsidRDefault="003F79E9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Expansion of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programs that 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work to close the equity gap</w:t>
            </w:r>
          </w:p>
        </w:tc>
        <w:tc>
          <w:tcPr>
            <w:tcW w:w="4815" w:type="dxa"/>
          </w:tcPr>
          <w:p w14:paraId="7871DFF6" w14:textId="0B345777" w:rsidR="0014471C" w:rsidRDefault="003F79E9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Define 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the elements of each program that are closing the equity gap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identify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which populations are having more success. 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Allocate resources to programs that are closing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4471C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14:paraId="43A9D69B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2018-19</w:t>
            </w:r>
          </w:p>
        </w:tc>
        <w:tc>
          <w:tcPr>
            <w:tcW w:w="1785" w:type="dxa"/>
          </w:tcPr>
          <w:p w14:paraId="659AC40F" w14:textId="1659B798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College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community as a whole</w:t>
            </w:r>
          </w:p>
        </w:tc>
      </w:tr>
      <w:tr w:rsidR="0014471C" w14:paraId="66C40B03" w14:textId="77777777" w:rsidTr="00D063E2">
        <w:tc>
          <w:tcPr>
            <w:tcW w:w="1770" w:type="dxa"/>
          </w:tcPr>
          <w:p w14:paraId="7016AE22" w14:textId="312337ED" w:rsidR="003F79E9" w:rsidRDefault="003F79E9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Achievement of equity goals</w:t>
            </w:r>
          </w:p>
          <w:p w14:paraId="762DD743" w14:textId="2F255664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7A8204C" w14:textId="07F0EAA1" w:rsidR="0014471C" w:rsidRDefault="0014471C" w:rsidP="00F158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Continue to work with </w:t>
            </w:r>
            <w:r w:rsidR="00F1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designated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departments on strategies for meeting the institutional metric of closing the achievement gap by 2020. </w:t>
            </w:r>
            <w:r w:rsidR="003F79E9">
              <w:rPr>
                <w:rFonts w:ascii="Times New Roman" w:eastAsia="Times New Roman" w:hAnsi="Times New Roman" w:cs="Times New Roman"/>
                <w:sz w:val="24"/>
                <w:szCs w:val="24"/>
              </w:rPr>
              <w:t>Monitor and continue the work that the Academic Senate is already supporting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14:paraId="67EBE04B" w14:textId="77777777" w:rsidR="0014471C" w:rsidRDefault="0014471C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785" w:type="dxa"/>
          </w:tcPr>
          <w:p w14:paraId="5F089189" w14:textId="741007E6" w:rsidR="0014471C" w:rsidRDefault="0014471C" w:rsidP="005E0D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Academic Senate, </w:t>
            </w:r>
            <w:r w:rsidR="00C57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English, </w:t>
            </w:r>
            <w:r w:rsidR="005E0D00">
              <w:rPr>
                <w:rFonts w:ascii="Times New Roman" w:eastAsia="Times New Roman" w:hAnsi="Times New Roman" w:cs="Times New Roman"/>
                <w:sz w:val="24"/>
                <w:szCs w:val="24"/>
              </w:rPr>
              <w:t>ESL</w:t>
            </w:r>
            <w:r w:rsidR="00C57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Reading and </w:t>
            </w:r>
            <w:r w:rsidR="00C57771"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r w:rsidR="00C57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departments</w:t>
            </w:r>
          </w:p>
        </w:tc>
      </w:tr>
    </w:tbl>
    <w:p w14:paraId="32375695" w14:textId="77777777" w:rsidR="00420D34" w:rsidRDefault="00420D34" w:rsidP="00B2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A6EBA" w14:textId="77777777" w:rsidR="005C581F" w:rsidRDefault="005C581F" w:rsidP="00B2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F9748" w14:textId="22F079CD" w:rsidR="00A50F6A" w:rsidRDefault="00A50F6A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Action Project 2: Integrated Planning</w:t>
      </w:r>
      <w:r w:rsidR="00001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Communication</w:t>
      </w:r>
    </w:p>
    <w:p w14:paraId="11CB8FEF" w14:textId="77777777" w:rsidR="00A50F6A" w:rsidRDefault="00A50F6A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F77A16">
        <w:rPr>
          <w:rFonts w:ascii="Times New Roman" w:eastAsia="Times New Roman" w:hAnsi="Times New Roman" w:cs="Times New Roman"/>
          <w:sz w:val="24"/>
          <w:szCs w:val="24"/>
        </w:rPr>
        <w:t>Goal: Develop better integration between the planning and budget teams.</w:t>
      </w:r>
    </w:p>
    <w:p w14:paraId="0DD8205C" w14:textId="77777777" w:rsidR="00E95F9E" w:rsidRDefault="00E95F9E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80161" w14:textId="308A5519" w:rsidR="00A50F6A" w:rsidRDefault="00A50F6A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7A374B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increasing </w:t>
      </w:r>
      <w:r w:rsidRPr="377A374B">
        <w:rPr>
          <w:rFonts w:ascii="Times New Roman" w:eastAsia="Times New Roman" w:hAnsi="Times New Roman" w:cs="Times New Roman"/>
          <w:sz w:val="24"/>
          <w:szCs w:val="24"/>
        </w:rPr>
        <w:t>integration between the planning and budget teams, the college will increase opportunities for cross-campus dialogue 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 w:rsidRPr="377A374B">
        <w:rPr>
          <w:rFonts w:ascii="Times New Roman" w:eastAsia="Times New Roman" w:hAnsi="Times New Roman" w:cs="Times New Roman"/>
          <w:sz w:val="24"/>
          <w:szCs w:val="24"/>
        </w:rPr>
        <w:t xml:space="preserve"> resource allocations, hiring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377A374B">
        <w:rPr>
          <w:rFonts w:ascii="Times New Roman" w:eastAsia="Times New Roman" w:hAnsi="Times New Roman" w:cs="Times New Roman"/>
          <w:sz w:val="24"/>
          <w:szCs w:val="24"/>
        </w:rPr>
        <w:t xml:space="preserve"> program viability</w:t>
      </w:r>
      <w:r w:rsidR="00725B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36D3">
        <w:rPr>
          <w:rFonts w:ascii="Times New Roman" w:eastAsia="Times New Roman" w:hAnsi="Times New Roman" w:cs="Times New Roman"/>
          <w:sz w:val="24"/>
          <w:szCs w:val="24"/>
        </w:rPr>
        <w:t>Student Learning O</w:t>
      </w:r>
      <w:r w:rsidR="00725B64" w:rsidRPr="005C581F">
        <w:rPr>
          <w:rFonts w:ascii="Times New Roman" w:eastAsia="Times New Roman" w:hAnsi="Times New Roman" w:cs="Times New Roman"/>
          <w:sz w:val="24"/>
          <w:szCs w:val="24"/>
        </w:rPr>
        <w:t>utcomes assessment</w:t>
      </w:r>
      <w:r w:rsidRPr="005C5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other important issues</w:t>
      </w:r>
      <w:r w:rsidRPr="377A374B">
        <w:rPr>
          <w:rFonts w:ascii="Times New Roman" w:eastAsia="Times New Roman" w:hAnsi="Times New Roman" w:cs="Times New Roman"/>
          <w:sz w:val="24"/>
          <w:szCs w:val="24"/>
        </w:rPr>
        <w:t xml:space="preserve">. Better integration 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produce </w:t>
      </w:r>
      <w:r w:rsidRPr="377A374B">
        <w:rPr>
          <w:rFonts w:ascii="Times New Roman" w:eastAsia="Times New Roman" w:hAnsi="Times New Roman" w:cs="Times New Roman"/>
          <w:sz w:val="24"/>
          <w:szCs w:val="24"/>
        </w:rPr>
        <w:t>greater transparency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make processes more effective and ultimately contribute to better </w:t>
      </w:r>
      <w:r w:rsidRPr="377A374B">
        <w:rPr>
          <w:rFonts w:ascii="Times New Roman" w:eastAsia="Times New Roman" w:hAnsi="Times New Roman" w:cs="Times New Roman"/>
          <w:sz w:val="24"/>
          <w:szCs w:val="24"/>
        </w:rPr>
        <w:t>student outcomes.</w:t>
      </w:r>
      <w:r w:rsidR="00E95F9E">
        <w:rPr>
          <w:rFonts w:ascii="Times New Roman" w:eastAsia="Times New Roman" w:hAnsi="Times New Roman" w:cs="Times New Roman"/>
          <w:sz w:val="24"/>
          <w:szCs w:val="24"/>
        </w:rPr>
        <w:t xml:space="preserve"> Implementation a</w:t>
      </w:r>
      <w:r w:rsidR="000236D3">
        <w:rPr>
          <w:rFonts w:ascii="Times New Roman" w:eastAsia="Times New Roman" w:hAnsi="Times New Roman" w:cs="Times New Roman"/>
          <w:sz w:val="24"/>
          <w:szCs w:val="24"/>
        </w:rPr>
        <w:t>ctivities in support of the project are listed below.</w:t>
      </w:r>
    </w:p>
    <w:p w14:paraId="3B7E87D6" w14:textId="77777777" w:rsidR="000236D3" w:rsidRDefault="000236D3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965"/>
        <w:gridCol w:w="4485"/>
        <w:gridCol w:w="1155"/>
        <w:gridCol w:w="1830"/>
      </w:tblGrid>
      <w:tr w:rsidR="00A50F6A" w14:paraId="3628F1F2" w14:textId="77777777" w:rsidTr="00A50F6A">
        <w:trPr>
          <w:trHeight w:val="552"/>
        </w:trPr>
        <w:tc>
          <w:tcPr>
            <w:tcW w:w="1965" w:type="dxa"/>
          </w:tcPr>
          <w:p w14:paraId="33E9BC68" w14:textId="77777777" w:rsidR="00A50F6A" w:rsidRPr="008C5F7D" w:rsidRDefault="00A50F6A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Outcome</w:t>
            </w:r>
          </w:p>
        </w:tc>
        <w:tc>
          <w:tcPr>
            <w:tcW w:w="4485" w:type="dxa"/>
          </w:tcPr>
          <w:p w14:paraId="28EDB747" w14:textId="77777777" w:rsidR="00A50F6A" w:rsidRPr="008C5F7D" w:rsidRDefault="00A50F6A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155" w:type="dxa"/>
          </w:tcPr>
          <w:p w14:paraId="429CDBEF" w14:textId="77777777" w:rsidR="00A50F6A" w:rsidRPr="008C5F7D" w:rsidRDefault="00A50F6A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Timeline</w:t>
            </w:r>
          </w:p>
        </w:tc>
        <w:tc>
          <w:tcPr>
            <w:tcW w:w="1830" w:type="dxa"/>
          </w:tcPr>
          <w:p w14:paraId="16AE420F" w14:textId="0F544DC2" w:rsidR="00A50F6A" w:rsidRPr="008C5F7D" w:rsidRDefault="00A50F6A" w:rsidP="00B264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Responsible </w:t>
            </w:r>
            <w:r w:rsidR="0002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Groups</w:t>
            </w:r>
          </w:p>
        </w:tc>
      </w:tr>
      <w:tr w:rsidR="00A50F6A" w14:paraId="3816DB26" w14:textId="77777777" w:rsidTr="00A50F6A">
        <w:trPr>
          <w:trHeight w:val="276"/>
        </w:trPr>
        <w:tc>
          <w:tcPr>
            <w:tcW w:w="1965" w:type="dxa"/>
          </w:tcPr>
          <w:p w14:paraId="5BD6A91A" w14:textId="6AAEE5C6" w:rsidR="00A50F6A" w:rsidRDefault="00D01FE6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Better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</w:t>
            </w:r>
            <w:r w:rsidR="00A50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A50F6A"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current planning processes within the </w:t>
            </w:r>
            <w:r w:rsidR="00A50F6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50F6A"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BT</w:t>
            </w:r>
            <w:r w:rsidR="00A50F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485" w:type="dxa"/>
          </w:tcPr>
          <w:p w14:paraId="552242A1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>Conduct a needs assessment to identify strengths and weaknesses of the integrated planning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1E6301D1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30" w:type="dxa"/>
          </w:tcPr>
          <w:p w14:paraId="574974E8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President,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Institutional </w:t>
            </w: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F6A" w14:paraId="23829497" w14:textId="77777777" w:rsidTr="00A50F6A">
        <w:trPr>
          <w:trHeight w:val="264"/>
        </w:trPr>
        <w:tc>
          <w:tcPr>
            <w:tcW w:w="1965" w:type="dxa"/>
          </w:tcPr>
          <w:p w14:paraId="5FE205BD" w14:textId="77777777" w:rsidR="00A50F6A" w:rsidRDefault="00A50F6A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>Improve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coordination between PBTs</w:t>
            </w:r>
          </w:p>
        </w:tc>
        <w:tc>
          <w:tcPr>
            <w:tcW w:w="4485" w:type="dxa"/>
          </w:tcPr>
          <w:p w14:paraId="7D0301B1" w14:textId="77777777" w:rsidR="00A50F6A" w:rsidRDefault="00A50F6A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Schedule joint meetings of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PBT committees on a quarterly basis – identify a lead responsible for establishing the agenda and calendaring the meeting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7764E1ED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  <w:p w14:paraId="743C4066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67F7A45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PBT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hairs</w:t>
            </w:r>
          </w:p>
        </w:tc>
      </w:tr>
      <w:tr w:rsidR="00A50F6A" w14:paraId="354733B5" w14:textId="77777777" w:rsidTr="00A50F6A">
        <w:trPr>
          <w:trHeight w:val="264"/>
        </w:trPr>
        <w:tc>
          <w:tcPr>
            <w:tcW w:w="1965" w:type="dxa"/>
          </w:tcPr>
          <w:p w14:paraId="638B316E" w14:textId="77777777" w:rsidR="00A50F6A" w:rsidRDefault="00A50F6A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Improved  interaction between </w:t>
            </w:r>
            <w:r w:rsidRPr="377A374B">
              <w:rPr>
                <w:rFonts w:ascii="Times New Roman" w:eastAsia="Times New Roman" w:hAnsi="Times New Roman" w:cs="Times New Roman"/>
                <w:sz w:val="24"/>
                <w:szCs w:val="24"/>
              </w:rPr>
              <w:t>shared governance groups</w:t>
            </w:r>
          </w:p>
        </w:tc>
        <w:tc>
          <w:tcPr>
            <w:tcW w:w="4485" w:type="dxa"/>
          </w:tcPr>
          <w:p w14:paraId="6DF43B39" w14:textId="4EB94604" w:rsidR="00A50F6A" w:rsidRDefault="00A50F6A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guidelines for increasing </w:t>
            </w:r>
            <w:r w:rsidRPr="377A374B">
              <w:rPr>
                <w:rFonts w:ascii="Times New Roman" w:eastAsia="Times New Roman" w:hAnsi="Times New Roman" w:cs="Times New Roman"/>
                <w:sz w:val="24"/>
                <w:szCs w:val="24"/>
              </w:rPr>
              <w:t>PBTs</w:t>
            </w:r>
            <w:r w:rsidR="000236D3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377A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involvement and communication with other shared governance committees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4D90F9FC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30" w:type="dxa"/>
          </w:tcPr>
          <w:p w14:paraId="4DD31130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7A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PBT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377A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hairs </w:t>
            </w:r>
          </w:p>
        </w:tc>
      </w:tr>
      <w:tr w:rsidR="00A50F6A" w14:paraId="04834199" w14:textId="77777777" w:rsidTr="00A50F6A">
        <w:trPr>
          <w:trHeight w:val="276"/>
        </w:trPr>
        <w:tc>
          <w:tcPr>
            <w:tcW w:w="1965" w:type="dxa"/>
          </w:tcPr>
          <w:p w14:paraId="0797755C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Improved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alignment of the program review process</w:t>
            </w:r>
          </w:p>
        </w:tc>
        <w:tc>
          <w:tcPr>
            <w:tcW w:w="4485" w:type="dxa"/>
          </w:tcPr>
          <w:p w14:paraId="587DEC4A" w14:textId="3EAEBD61" w:rsidR="00A50F6A" w:rsidRDefault="00A50F6A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Align timelines and cycles for all PBTs. Each PBT will maintain their own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review </w:t>
            </w:r>
            <w:r w:rsidR="000236D3">
              <w:rPr>
                <w:rFonts w:ascii="Times New Roman" w:eastAsia="Times New Roman" w:hAnsi="Times New Roman" w:cs="Times New Roman"/>
                <w:sz w:val="24"/>
                <w:szCs w:val="24"/>
              </w:rPr>
              <w:t>form, but work toward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integrating overarching goals such as student equity and success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71DEB09E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830" w:type="dxa"/>
          </w:tcPr>
          <w:p w14:paraId="072A8028" w14:textId="3CAED71D" w:rsidR="00A50F6A" w:rsidRDefault="00A50F6A" w:rsidP="00B2642B"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PBT</w:t>
            </w:r>
            <w:r w:rsidR="0002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chairs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, College Council</w:t>
            </w:r>
          </w:p>
        </w:tc>
      </w:tr>
      <w:tr w:rsidR="00A50F6A" w14:paraId="492AAAB8" w14:textId="77777777" w:rsidTr="00A50F6A">
        <w:trPr>
          <w:trHeight w:val="276"/>
        </w:trPr>
        <w:tc>
          <w:tcPr>
            <w:tcW w:w="1965" w:type="dxa"/>
          </w:tcPr>
          <w:p w14:paraId="3A782D80" w14:textId="21A2A3B8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visibility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hiring processes</w:t>
            </w:r>
          </w:p>
        </w:tc>
        <w:tc>
          <w:tcPr>
            <w:tcW w:w="4485" w:type="dxa"/>
          </w:tcPr>
          <w:p w14:paraId="2F7653B4" w14:textId="458A93AE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Establish channels for sharing 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hiring processes</w:t>
            </w:r>
            <w:r w:rsidR="0002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PBT has better understanding of hiring by other PBTs. 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Establish similar criteria for ranking positions across the PBTs. Criteria may 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include a link to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tudent Learning Outcomes (S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evaluation of SLOs. Establish a rubric that is used for </w:t>
            </w:r>
            <w:r w:rsidR="00E9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deciding </w:t>
            </w:r>
            <w:r w:rsidRPr="10E7D661">
              <w:rPr>
                <w:rFonts w:ascii="Times New Roman" w:eastAsia="Times New Roman" w:hAnsi="Times New Roman" w:cs="Times New Roman"/>
                <w:sz w:val="24"/>
                <w:szCs w:val="24"/>
              </w:rPr>
              <w:t>on the positions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6975EFD0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2018-19</w:t>
            </w:r>
          </w:p>
        </w:tc>
        <w:tc>
          <w:tcPr>
            <w:tcW w:w="1830" w:type="dxa"/>
          </w:tcPr>
          <w:p w14:paraId="6C7DED14" w14:textId="70504656" w:rsidR="00A50F6A" w:rsidRDefault="00A50F6A" w:rsidP="00B2642B">
            <w:r w:rsidRPr="397C32C8">
              <w:rPr>
                <w:rFonts w:ascii="Times New Roman" w:eastAsia="Times New Roman" w:hAnsi="Times New Roman" w:cs="Times New Roman"/>
                <w:sz w:val="24"/>
                <w:szCs w:val="24"/>
              </w:rPr>
              <w:t>PBT leadership, College Council</w:t>
            </w:r>
          </w:p>
          <w:p w14:paraId="35FD1566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F6A" w14:paraId="46E705B6" w14:textId="77777777" w:rsidTr="00A50F6A">
        <w:trPr>
          <w:trHeight w:val="276"/>
        </w:trPr>
        <w:tc>
          <w:tcPr>
            <w:tcW w:w="1965" w:type="dxa"/>
          </w:tcPr>
          <w:p w14:paraId="04E42552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Sustain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links between planning and SLO work</w:t>
            </w:r>
          </w:p>
        </w:tc>
        <w:tc>
          <w:tcPr>
            <w:tcW w:w="4485" w:type="dxa"/>
          </w:tcPr>
          <w:p w14:paraId="3F78716A" w14:textId="75517229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Ensure that all 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PBT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PRUs to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tudent Learning Outcomes (SLOs), Student Services Learning Outcomes (SSLOs), Administrative Unit Outcomes (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AUOs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</w:tcPr>
          <w:p w14:paraId="0AA3B2F2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  <w:p w14:paraId="4514B3AC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63DAB72" w14:textId="4433BCD6" w:rsidR="00A50F6A" w:rsidRDefault="00A50F6A" w:rsidP="00B2642B"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PBT leadership, SLO Committee</w:t>
            </w:r>
          </w:p>
        </w:tc>
      </w:tr>
      <w:tr w:rsidR="00A50F6A" w14:paraId="236017D9" w14:textId="77777777" w:rsidTr="00A50F6A">
        <w:trPr>
          <w:trHeight w:val="276"/>
        </w:trPr>
        <w:tc>
          <w:tcPr>
            <w:tcW w:w="1965" w:type="dxa"/>
          </w:tcPr>
          <w:p w14:paraId="27D2F408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Streamline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reporting structure</w:t>
            </w:r>
          </w:p>
        </w:tc>
        <w:tc>
          <w:tcPr>
            <w:tcW w:w="4485" w:type="dxa"/>
          </w:tcPr>
          <w:p w14:paraId="62E8935F" w14:textId="0FE043A6" w:rsidR="00A50F6A" w:rsidRDefault="00A50F6A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Ensure that all PBTs 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</w:t>
            </w:r>
            <w:r w:rsidR="00E9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APRU and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omprehensive Program Review (C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TracDat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0F6A93C2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30" w:type="dxa"/>
          </w:tcPr>
          <w:p w14:paraId="06B330B4" w14:textId="77777777" w:rsidR="00A50F6A" w:rsidRDefault="00A50F6A" w:rsidP="00B2642B"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PBT leadership, SLO Committee</w:t>
            </w:r>
          </w:p>
        </w:tc>
      </w:tr>
      <w:tr w:rsidR="00A50F6A" w14:paraId="3CAA33CC" w14:textId="77777777" w:rsidTr="00A50F6A">
        <w:trPr>
          <w:trHeight w:val="276"/>
        </w:trPr>
        <w:tc>
          <w:tcPr>
            <w:tcW w:w="1965" w:type="dxa"/>
          </w:tcPr>
          <w:p w14:paraId="387FAAFC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communication and dissemination of information</w:t>
            </w:r>
          </w:p>
        </w:tc>
        <w:tc>
          <w:tcPr>
            <w:tcW w:w="4485" w:type="dxa"/>
          </w:tcPr>
          <w:p w14:paraId="14CF6682" w14:textId="2FC82A28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Expand role of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Council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more of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source for discussion of proposals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explore how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>resource allocations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integrated across the campus rather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 </w:t>
            </w:r>
            <w:r w:rsidR="00E9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simply </w:t>
            </w:r>
            <w:r w:rsidRPr="7DDA8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approving what comes from the PBTs. </w:t>
            </w:r>
          </w:p>
        </w:tc>
        <w:tc>
          <w:tcPr>
            <w:tcW w:w="1155" w:type="dxa"/>
          </w:tcPr>
          <w:p w14:paraId="739C3E59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30" w:type="dxa"/>
          </w:tcPr>
          <w:p w14:paraId="4C10D438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PBT leadership, College Council</w:t>
            </w:r>
          </w:p>
        </w:tc>
      </w:tr>
      <w:tr w:rsidR="00A50F6A" w14:paraId="31182AC5" w14:textId="77777777" w:rsidTr="00A50F6A">
        <w:trPr>
          <w:trHeight w:val="276"/>
        </w:trPr>
        <w:tc>
          <w:tcPr>
            <w:tcW w:w="1965" w:type="dxa"/>
          </w:tcPr>
          <w:p w14:paraId="6891EF93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communication and dissemination of information</w:t>
            </w:r>
          </w:p>
        </w:tc>
        <w:tc>
          <w:tcPr>
            <w:tcW w:w="4485" w:type="dxa"/>
          </w:tcPr>
          <w:p w14:paraId="41A0CBC5" w14:textId="5D56E9E2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Establish a process at College Council </w:t>
            </w:r>
            <w:r w:rsidR="00E9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which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repre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sentatives from each PBT report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activities at each meeting.</w:t>
            </w:r>
          </w:p>
        </w:tc>
        <w:tc>
          <w:tcPr>
            <w:tcW w:w="1155" w:type="dxa"/>
          </w:tcPr>
          <w:p w14:paraId="50B61796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  <w:p w14:paraId="74B3B938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DD5907B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PBT leadership, College Council</w:t>
            </w:r>
          </w:p>
          <w:p w14:paraId="75149154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F6A" w14:paraId="41DD4D1D" w14:textId="77777777" w:rsidTr="00A50F6A">
        <w:trPr>
          <w:trHeight w:val="276"/>
        </w:trPr>
        <w:tc>
          <w:tcPr>
            <w:tcW w:w="1965" w:type="dxa"/>
          </w:tcPr>
          <w:p w14:paraId="072D86BC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communication and dissemination of information</w:t>
            </w:r>
          </w:p>
        </w:tc>
        <w:tc>
          <w:tcPr>
            <w:tcW w:w="4485" w:type="dxa"/>
          </w:tcPr>
          <w:p w14:paraId="7896927D" w14:textId="77777777" w:rsidR="00A50F6A" w:rsidRDefault="00A50F6A" w:rsidP="00B264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F77A16">
              <w:rPr>
                <w:rFonts w:ascii="Times New Roman" w:eastAsia="Times New Roman" w:hAnsi="Times New Roman" w:cs="Times New Roman"/>
                <w:sz w:val="24"/>
                <w:szCs w:val="24"/>
              </w:rPr>
              <w:t>Designate a representative from each PBT to attend the meetings of the other PBTs to bring back information to their respective PBT on a regular basis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437ECE74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30" w:type="dxa"/>
          </w:tcPr>
          <w:p w14:paraId="72C31A85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PBT leadership</w:t>
            </w:r>
          </w:p>
        </w:tc>
      </w:tr>
      <w:tr w:rsidR="00A50F6A" w14:paraId="0A204B5E" w14:textId="77777777" w:rsidTr="00A50F6A">
        <w:trPr>
          <w:trHeight w:val="276"/>
        </w:trPr>
        <w:tc>
          <w:tcPr>
            <w:tcW w:w="1965" w:type="dxa"/>
          </w:tcPr>
          <w:p w14:paraId="61E4217B" w14:textId="5975430D" w:rsidR="00A50F6A" w:rsidRDefault="00D250D0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Standardized program review process for resource requests</w:t>
            </w:r>
          </w:p>
        </w:tc>
        <w:tc>
          <w:tcPr>
            <w:tcW w:w="4485" w:type="dxa"/>
          </w:tcPr>
          <w:p w14:paraId="07E5649F" w14:textId="3B144526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Carry out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C738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the College Planning Committee of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departments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divisions and offices c</w:t>
            </w:r>
            <w:r w:rsidR="0000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omplete learning outcomes and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program review</w:t>
            </w:r>
            <w:r w:rsidR="000014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determine if any areas </w:t>
            </w:r>
            <w:r w:rsidR="0000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been left out and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be included. </w:t>
            </w:r>
          </w:p>
        </w:tc>
        <w:tc>
          <w:tcPr>
            <w:tcW w:w="1155" w:type="dxa"/>
          </w:tcPr>
          <w:p w14:paraId="0651E1AF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30" w:type="dxa"/>
          </w:tcPr>
          <w:p w14:paraId="0E4BB9B7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College Planning Committee, College Council</w:t>
            </w:r>
          </w:p>
        </w:tc>
      </w:tr>
      <w:tr w:rsidR="00A50F6A" w14:paraId="42EB5067" w14:textId="77777777" w:rsidTr="00A50F6A">
        <w:trPr>
          <w:trHeight w:val="276"/>
        </w:trPr>
        <w:tc>
          <w:tcPr>
            <w:tcW w:w="1965" w:type="dxa"/>
          </w:tcPr>
          <w:p w14:paraId="13F81D3C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communication and dissemination of information</w:t>
            </w:r>
          </w:p>
        </w:tc>
        <w:tc>
          <w:tcPr>
            <w:tcW w:w="4485" w:type="dxa"/>
          </w:tcPr>
          <w:p w14:paraId="3086303C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Launch assessment by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Planning Committee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much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stakeholders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planning and resource allocation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and tailor trainings around their needs.</w:t>
            </w:r>
          </w:p>
        </w:tc>
        <w:tc>
          <w:tcPr>
            <w:tcW w:w="1155" w:type="dxa"/>
          </w:tcPr>
          <w:p w14:paraId="26F5326F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30" w:type="dxa"/>
          </w:tcPr>
          <w:p w14:paraId="279C8E7D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College Planning Committee, College Council</w:t>
            </w:r>
          </w:p>
          <w:p w14:paraId="3C1313CC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F6A" w14:paraId="4BB10CB9" w14:textId="77777777" w:rsidTr="00A50F6A">
        <w:trPr>
          <w:trHeight w:val="276"/>
        </w:trPr>
        <w:tc>
          <w:tcPr>
            <w:tcW w:w="1965" w:type="dxa"/>
          </w:tcPr>
          <w:p w14:paraId="58784A58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communication and dissemination of information</w:t>
            </w:r>
          </w:p>
        </w:tc>
        <w:tc>
          <w:tcPr>
            <w:tcW w:w="4485" w:type="dxa"/>
          </w:tcPr>
          <w:p w14:paraId="19C90463" w14:textId="567BFEF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Launch assessment by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Planning Committee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how information about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 and resource allocation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disseminated, with the goal of understanding 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what information is being shared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information</w:t>
            </w:r>
            <w:r w:rsidR="00E9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college community wants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what the best channels </w:t>
            </w:r>
            <w:r w:rsidR="00E9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sharing </w:t>
            </w:r>
            <w:r w:rsidR="00E94357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14:paraId="4FBA0B74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AF2D0B">
              <w:rPr>
                <w:rFonts w:ascii="Times New Roman" w:eastAsia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30" w:type="dxa"/>
          </w:tcPr>
          <w:p w14:paraId="2F56318A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817AD3">
              <w:rPr>
                <w:rFonts w:ascii="Times New Roman" w:eastAsia="Times New Roman" w:hAnsi="Times New Roman" w:cs="Times New Roman"/>
                <w:sz w:val="24"/>
                <w:szCs w:val="24"/>
              </w:rPr>
              <w:t>College Planning Committee, College Council</w:t>
            </w:r>
          </w:p>
          <w:p w14:paraId="18B75127" w14:textId="77777777" w:rsidR="00A50F6A" w:rsidRDefault="00A50F6A" w:rsidP="00B2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897AB0" w14:textId="77777777" w:rsidR="002A3828" w:rsidRDefault="002A3828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61CD36" w14:textId="77777777" w:rsidR="005C581F" w:rsidRDefault="005C581F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96F20" w14:textId="77777777" w:rsidR="006926F4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CDF10F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926F4">
        <w:rPr>
          <w:rFonts w:ascii="Times New Roman" w:eastAsia="Times New Roman" w:hAnsi="Times New Roman" w:cs="Times New Roman"/>
          <w:b/>
          <w:bCs/>
          <w:sz w:val="24"/>
          <w:szCs w:val="24"/>
        </w:rPr>
        <w:t>ssessment of Action Projects</w:t>
      </w:r>
    </w:p>
    <w:p w14:paraId="1D3FD691" w14:textId="36D78E3A" w:rsidR="005C581F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De Anza College will annually evaluate </w:t>
      </w:r>
      <w:r w:rsidR="006926F4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 progress in meeting </w:t>
      </w:r>
      <w:r w:rsidR="006926F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 goals of the QFE, </w:t>
      </w:r>
      <w:r w:rsidR="006926F4">
        <w:rPr>
          <w:rFonts w:ascii="Times New Roman" w:eastAsia="Times New Roman" w:hAnsi="Times New Roman" w:cs="Times New Roman"/>
          <w:sz w:val="24"/>
          <w:szCs w:val="24"/>
        </w:rPr>
        <w:t xml:space="preserve">as well as its 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progress in meeting goals and timeline for the Action </w:t>
      </w:r>
      <w:r w:rsidR="006926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>rojects</w:t>
      </w:r>
      <w:r w:rsidR="006926F4">
        <w:rPr>
          <w:rFonts w:ascii="Times New Roman" w:eastAsia="Times New Roman" w:hAnsi="Times New Roman" w:cs="Times New Roman"/>
          <w:sz w:val="24"/>
          <w:szCs w:val="24"/>
        </w:rPr>
        <w:t>. The college will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 assess the effectiveness of the plans, timeline, responsible parties and outcomes. 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 xml:space="preserve">To ensure the 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action plans 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 xml:space="preserve">are carried out, they will be 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embedded in existing college processes 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 program review and institutional planning. The </w:t>
      </w:r>
      <w:r w:rsidR="00880ED2">
        <w:rPr>
          <w:rFonts w:ascii="Times New Roman" w:eastAsia="Times New Roman" w:hAnsi="Times New Roman" w:cs="Times New Roman"/>
          <w:sz w:val="24"/>
          <w:szCs w:val="24"/>
        </w:rPr>
        <w:t>CPC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will be responsible for annually reviewing the QFE goals in 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 xml:space="preserve">connection with De Anza’s 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institutional metrics and 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>Educational Master Plan. The CPC will u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 xml:space="preserve">se the </w:t>
      </w:r>
      <w:r w:rsidR="002A3828">
        <w:rPr>
          <w:rFonts w:ascii="Times New Roman" w:eastAsia="Times New Roman" w:hAnsi="Times New Roman" w:cs="Times New Roman"/>
          <w:sz w:val="24"/>
          <w:szCs w:val="24"/>
        </w:rPr>
        <w:t xml:space="preserve">college’s 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 xml:space="preserve">equity-driven change model and 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>rubric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>as part of th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10E7D661">
        <w:rPr>
          <w:rFonts w:ascii="Times New Roman" w:eastAsia="Times New Roman" w:hAnsi="Times New Roman" w:cs="Times New Roman"/>
          <w:sz w:val="24"/>
          <w:szCs w:val="24"/>
        </w:rPr>
        <w:t xml:space="preserve"> assessment process.</w:t>
      </w:r>
    </w:p>
    <w:p w14:paraId="44AE0F54" w14:textId="77777777" w:rsidR="00587034" w:rsidRPr="0005320C" w:rsidRDefault="00587034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C9E58" w14:textId="56EEA979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DA85E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DC493A">
        <w:rPr>
          <w:rFonts w:ascii="Times New Roman" w:eastAsia="Times New Roman" w:hAnsi="Times New Roman" w:cs="Times New Roman"/>
          <w:b/>
          <w:bCs/>
          <w:sz w:val="24"/>
          <w:szCs w:val="24"/>
        </w:rPr>
        <w:t>esources</w:t>
      </w:r>
    </w:p>
    <w:p w14:paraId="351727E2" w14:textId="06782ABB" w:rsidR="005C581F" w:rsidRDefault="00DC493A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college will use existing human, technological, physical and financial resources to meet the goals outlined in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the QFE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Funding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state’s Student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Equity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program,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the Student </w:t>
      </w:r>
      <w:r>
        <w:rPr>
          <w:rFonts w:ascii="Times New Roman" w:eastAsia="Times New Roman" w:hAnsi="Times New Roman" w:cs="Times New Roman"/>
          <w:sz w:val="24"/>
          <w:szCs w:val="24"/>
        </w:rPr>
        <w:t>Success and Support Program</w:t>
      </w:r>
      <w:r w:rsidR="00880ED2">
        <w:rPr>
          <w:rFonts w:ascii="Times New Roman" w:eastAsia="Times New Roman" w:hAnsi="Times New Roman" w:cs="Times New Roman"/>
          <w:sz w:val="24"/>
          <w:szCs w:val="24"/>
        </w:rPr>
        <w:t xml:space="preserve"> (SSSP)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Basic Skills Initiative </w:t>
      </w:r>
      <w:r w:rsidR="00880ED2">
        <w:rPr>
          <w:rFonts w:ascii="Times New Roman" w:eastAsia="Times New Roman" w:hAnsi="Times New Roman" w:cs="Times New Roman"/>
          <w:sz w:val="24"/>
          <w:szCs w:val="24"/>
        </w:rPr>
        <w:t xml:space="preserve">(BSI)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and the Adult Education Block Grant will be allocated to this purpose when available and appropriate. </w:t>
      </w:r>
    </w:p>
    <w:p w14:paraId="648ED9C3" w14:textId="77777777" w:rsidR="00587034" w:rsidRDefault="00587034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B060AB" w14:textId="77777777" w:rsidR="00DC493A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97C32C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DC493A">
        <w:rPr>
          <w:rFonts w:ascii="Times New Roman" w:eastAsia="Times New Roman" w:hAnsi="Times New Roman" w:cs="Times New Roman"/>
          <w:b/>
          <w:bCs/>
          <w:sz w:val="24"/>
          <w:szCs w:val="24"/>
        </w:rPr>
        <w:t>ample Timeline and Process for Annually Assessing the Quality Focus Essay</w:t>
      </w:r>
    </w:p>
    <w:p w14:paraId="6EE615E1" w14:textId="77777777" w:rsidR="000445FE" w:rsidRDefault="000445FE" w:rsidP="00B2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0C31E4" w14:textId="71557A53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20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A50F6A" w:rsidRPr="0005320C">
        <w:rPr>
          <w:rFonts w:ascii="Times New Roman" w:eastAsia="Times New Roman" w:hAnsi="Times New Roman" w:cs="Times New Roman"/>
          <w:b/>
          <w:sz w:val="24"/>
          <w:szCs w:val="24"/>
        </w:rPr>
        <w:t>eptember:</w:t>
      </w:r>
      <w:r w:rsidR="00A50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The accreditation liaison office</w:t>
      </w:r>
      <w:r w:rsidR="00D250D0">
        <w:rPr>
          <w:rFonts w:ascii="Times New Roman" w:eastAsia="Times New Roman" w:hAnsi="Times New Roman" w:cs="Times New Roman"/>
          <w:sz w:val="24"/>
          <w:szCs w:val="24"/>
        </w:rPr>
        <w:t>r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 will convene the College Planning Committee 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 develop a process for gathering feedback from the governance groups responsible for implement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>ing the plan, and for reviewing the work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 each fall to produce a progress report</w:t>
      </w:r>
      <w:r w:rsidR="00DC49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The college president will reemphasize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his vision and De Anza’s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commitment to the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 projects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at the beginning of each academic year. Responsible parties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identified in the QFE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will ensure that plans are in place and moving forward.</w:t>
      </w:r>
    </w:p>
    <w:p w14:paraId="0BE2410B" w14:textId="77777777" w:rsidR="000445FE" w:rsidRDefault="000445FE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E6B36" w14:textId="70CEC046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20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50F6A" w:rsidRPr="0005320C">
        <w:rPr>
          <w:rFonts w:ascii="Times New Roman" w:eastAsia="Times New Roman" w:hAnsi="Times New Roman" w:cs="Times New Roman"/>
          <w:b/>
          <w:sz w:val="24"/>
          <w:szCs w:val="24"/>
        </w:rPr>
        <w:t>ctober-November:</w:t>
      </w:r>
      <w:r w:rsidR="00A50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The College Planning Committee and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Office of Institutional Research and Planning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>compile information on De Anza’s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progress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>toward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meeting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stated goals. The CPC will monitor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achievement of the goals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>gainst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established 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>timeline. If goals are not being met, the CPC will report this information to College Council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>, which will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 determine the best way to proceed. </w:t>
      </w:r>
    </w:p>
    <w:p w14:paraId="01E5F07B" w14:textId="77777777" w:rsidR="000445FE" w:rsidRDefault="000445FE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BD87A" w14:textId="06E6CB4E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20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A50F6A" w:rsidRPr="0005320C">
        <w:rPr>
          <w:rFonts w:ascii="Times New Roman" w:eastAsia="Times New Roman" w:hAnsi="Times New Roman" w:cs="Times New Roman"/>
          <w:b/>
          <w:sz w:val="24"/>
          <w:szCs w:val="24"/>
        </w:rPr>
        <w:t>ecember:</w:t>
      </w:r>
      <w:r w:rsidR="00A50F6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57F77A16">
        <w:rPr>
          <w:rFonts w:ascii="Times New Roman" w:eastAsia="Times New Roman" w:hAnsi="Times New Roman" w:cs="Times New Roman"/>
          <w:sz w:val="24"/>
          <w:szCs w:val="24"/>
        </w:rPr>
        <w:t xml:space="preserve">he college president will provide a progress report to College Council. </w:t>
      </w:r>
    </w:p>
    <w:p w14:paraId="6D475BF9" w14:textId="77777777" w:rsidR="000445FE" w:rsidRDefault="000445FE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298C3" w14:textId="1E9B4396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20C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A50F6A" w:rsidRPr="0005320C">
        <w:rPr>
          <w:rFonts w:ascii="Times New Roman" w:eastAsia="Times New Roman" w:hAnsi="Times New Roman" w:cs="Times New Roman"/>
          <w:b/>
          <w:sz w:val="24"/>
          <w:szCs w:val="24"/>
        </w:rPr>
        <w:t>anuary-February:</w:t>
      </w:r>
      <w:r w:rsidR="00A50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The College Planning Committee and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Institutional Research office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will summarize all feedback and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produce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a report o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 the results. The report will be shared with College Council to determine if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De Anza is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on track to meet 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 xml:space="preserve"> goals. </w:t>
      </w:r>
    </w:p>
    <w:p w14:paraId="65A04FA0" w14:textId="77777777" w:rsidR="000445FE" w:rsidRDefault="000445FE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39617" w14:textId="7872508F" w:rsidR="0014471C" w:rsidRDefault="0014471C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20C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A50F6A" w:rsidRPr="0005320C">
        <w:rPr>
          <w:rFonts w:ascii="Times New Roman" w:eastAsia="Times New Roman" w:hAnsi="Times New Roman" w:cs="Times New Roman"/>
          <w:b/>
          <w:sz w:val="24"/>
          <w:szCs w:val="24"/>
        </w:rPr>
        <w:t>arch-April:</w:t>
      </w:r>
      <w:r w:rsidR="00A50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DA85E2">
        <w:rPr>
          <w:rFonts w:ascii="Times New Roman" w:eastAsia="Times New Roman" w:hAnsi="Times New Roman" w:cs="Times New Roman"/>
          <w:sz w:val="24"/>
          <w:szCs w:val="24"/>
        </w:rPr>
        <w:t>The College Planning Committee and relevant governance groups will assess the findings and recommend improvements as well as strategies for continuous improvement.</w:t>
      </w:r>
    </w:p>
    <w:p w14:paraId="521B9ABF" w14:textId="77777777" w:rsidR="000445FE" w:rsidRDefault="000445FE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51BEB" w14:textId="2351987F" w:rsidR="00595E4D" w:rsidRPr="00A50F6A" w:rsidRDefault="00A50F6A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20C">
        <w:rPr>
          <w:rFonts w:ascii="Times New Roman" w:eastAsia="Times New Roman" w:hAnsi="Times New Roman" w:cs="Times New Roman"/>
          <w:b/>
          <w:sz w:val="24"/>
          <w:szCs w:val="24"/>
        </w:rPr>
        <w:t>May-June: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Responsible parties will determine how to implement plans for the </w:t>
      </w:r>
      <w:r w:rsidR="0005320C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757465">
        <w:rPr>
          <w:rFonts w:ascii="Times New Roman" w:eastAsia="Times New Roman" w:hAnsi="Times New Roman" w:cs="Times New Roman"/>
          <w:sz w:val="24"/>
          <w:szCs w:val="24"/>
        </w:rPr>
        <w:t xml:space="preserve">, so as to continue progress and meet the </w:t>
      </w:r>
      <w:r w:rsidR="0014471C" w:rsidRPr="7DDA85E2">
        <w:rPr>
          <w:rFonts w:ascii="Times New Roman" w:eastAsia="Times New Roman" w:hAnsi="Times New Roman" w:cs="Times New Roman"/>
          <w:sz w:val="24"/>
          <w:szCs w:val="24"/>
        </w:rPr>
        <w:t xml:space="preserve">goals. </w:t>
      </w:r>
    </w:p>
    <w:sectPr w:rsidR="00595E4D" w:rsidRPr="00A50F6A" w:rsidSect="006F28F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18903" w14:textId="77777777" w:rsidR="00526025" w:rsidRDefault="00526025" w:rsidP="005B593A">
      <w:pPr>
        <w:spacing w:after="0" w:line="240" w:lineRule="auto"/>
      </w:pPr>
      <w:r>
        <w:separator/>
      </w:r>
    </w:p>
  </w:endnote>
  <w:endnote w:type="continuationSeparator" w:id="0">
    <w:p w14:paraId="50D1B07D" w14:textId="77777777" w:rsidR="00526025" w:rsidRDefault="00526025" w:rsidP="005B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FDF9C" w14:textId="77777777" w:rsidR="005B593A" w:rsidRDefault="005B593A" w:rsidP="005C46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52316" w14:textId="77777777" w:rsidR="005B593A" w:rsidRDefault="005B593A" w:rsidP="005B593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A87B3" w14:textId="77777777" w:rsidR="005B593A" w:rsidRDefault="005B593A" w:rsidP="005C46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7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5CF75D" w14:textId="77777777" w:rsidR="005B593A" w:rsidRDefault="005B593A" w:rsidP="005B59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680F2" w14:textId="77777777" w:rsidR="00526025" w:rsidRDefault="00526025" w:rsidP="005B593A">
      <w:pPr>
        <w:spacing w:after="0" w:line="240" w:lineRule="auto"/>
      </w:pPr>
      <w:r>
        <w:separator/>
      </w:r>
    </w:p>
  </w:footnote>
  <w:footnote w:type="continuationSeparator" w:id="0">
    <w:p w14:paraId="23B891F7" w14:textId="77777777" w:rsidR="00526025" w:rsidRDefault="00526025" w:rsidP="005B5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2FEC"/>
    <w:multiLevelType w:val="hybridMultilevel"/>
    <w:tmpl w:val="4A18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638B9"/>
    <w:multiLevelType w:val="hybridMultilevel"/>
    <w:tmpl w:val="A1525D46"/>
    <w:lvl w:ilvl="0" w:tplc="9AC64384">
      <w:start w:val="1"/>
      <w:numFmt w:val="decimal"/>
      <w:lvlText w:val="%1."/>
      <w:lvlJc w:val="left"/>
      <w:pPr>
        <w:ind w:left="720" w:hanging="360"/>
      </w:pPr>
    </w:lvl>
    <w:lvl w:ilvl="1" w:tplc="A3D8060C">
      <w:start w:val="1"/>
      <w:numFmt w:val="lowerLetter"/>
      <w:lvlText w:val="%2."/>
      <w:lvlJc w:val="left"/>
      <w:pPr>
        <w:ind w:left="1440" w:hanging="360"/>
      </w:pPr>
    </w:lvl>
    <w:lvl w:ilvl="2" w:tplc="61242A18">
      <w:start w:val="1"/>
      <w:numFmt w:val="lowerRoman"/>
      <w:lvlText w:val="%3."/>
      <w:lvlJc w:val="right"/>
      <w:pPr>
        <w:ind w:left="2160" w:hanging="180"/>
      </w:pPr>
    </w:lvl>
    <w:lvl w:ilvl="3" w:tplc="51849620">
      <w:start w:val="1"/>
      <w:numFmt w:val="decimal"/>
      <w:lvlText w:val="%4."/>
      <w:lvlJc w:val="left"/>
      <w:pPr>
        <w:ind w:left="2880" w:hanging="360"/>
      </w:pPr>
    </w:lvl>
    <w:lvl w:ilvl="4" w:tplc="BD3AE208">
      <w:start w:val="1"/>
      <w:numFmt w:val="lowerLetter"/>
      <w:lvlText w:val="%5."/>
      <w:lvlJc w:val="left"/>
      <w:pPr>
        <w:ind w:left="3600" w:hanging="360"/>
      </w:pPr>
    </w:lvl>
    <w:lvl w:ilvl="5" w:tplc="FE9A1E3E">
      <w:start w:val="1"/>
      <w:numFmt w:val="lowerRoman"/>
      <w:lvlText w:val="%6."/>
      <w:lvlJc w:val="right"/>
      <w:pPr>
        <w:ind w:left="4320" w:hanging="180"/>
      </w:pPr>
    </w:lvl>
    <w:lvl w:ilvl="6" w:tplc="A3847A4C">
      <w:start w:val="1"/>
      <w:numFmt w:val="decimal"/>
      <w:lvlText w:val="%7."/>
      <w:lvlJc w:val="left"/>
      <w:pPr>
        <w:ind w:left="5040" w:hanging="360"/>
      </w:pPr>
    </w:lvl>
    <w:lvl w:ilvl="7" w:tplc="1D6637FE">
      <w:start w:val="1"/>
      <w:numFmt w:val="lowerLetter"/>
      <w:lvlText w:val="%8."/>
      <w:lvlJc w:val="left"/>
      <w:pPr>
        <w:ind w:left="5760" w:hanging="360"/>
      </w:pPr>
    </w:lvl>
    <w:lvl w:ilvl="8" w:tplc="8AC06F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58D7"/>
    <w:multiLevelType w:val="hybridMultilevel"/>
    <w:tmpl w:val="FAD66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DD16C9"/>
    <w:multiLevelType w:val="hybridMultilevel"/>
    <w:tmpl w:val="8F38EC8C"/>
    <w:lvl w:ilvl="0" w:tplc="7A0A72FE">
      <w:start w:val="1"/>
      <w:numFmt w:val="decimal"/>
      <w:lvlText w:val="%1."/>
      <w:lvlJc w:val="left"/>
      <w:pPr>
        <w:ind w:left="720" w:hanging="360"/>
      </w:pPr>
    </w:lvl>
    <w:lvl w:ilvl="1" w:tplc="14460506">
      <w:start w:val="1"/>
      <w:numFmt w:val="lowerLetter"/>
      <w:lvlText w:val="%2."/>
      <w:lvlJc w:val="left"/>
      <w:pPr>
        <w:ind w:left="1440" w:hanging="360"/>
      </w:pPr>
    </w:lvl>
    <w:lvl w:ilvl="2" w:tplc="1DC8DC6A">
      <w:start w:val="1"/>
      <w:numFmt w:val="lowerRoman"/>
      <w:lvlText w:val="%3."/>
      <w:lvlJc w:val="right"/>
      <w:pPr>
        <w:ind w:left="2160" w:hanging="180"/>
      </w:pPr>
    </w:lvl>
    <w:lvl w:ilvl="3" w:tplc="5F76A47C">
      <w:start w:val="1"/>
      <w:numFmt w:val="decimal"/>
      <w:lvlText w:val="%4."/>
      <w:lvlJc w:val="left"/>
      <w:pPr>
        <w:ind w:left="2880" w:hanging="360"/>
      </w:pPr>
    </w:lvl>
    <w:lvl w:ilvl="4" w:tplc="CAB86EB4">
      <w:start w:val="1"/>
      <w:numFmt w:val="lowerLetter"/>
      <w:lvlText w:val="%5."/>
      <w:lvlJc w:val="left"/>
      <w:pPr>
        <w:ind w:left="3600" w:hanging="360"/>
      </w:pPr>
    </w:lvl>
    <w:lvl w:ilvl="5" w:tplc="5DCE1A70">
      <w:start w:val="1"/>
      <w:numFmt w:val="lowerRoman"/>
      <w:lvlText w:val="%6."/>
      <w:lvlJc w:val="right"/>
      <w:pPr>
        <w:ind w:left="4320" w:hanging="180"/>
      </w:pPr>
    </w:lvl>
    <w:lvl w:ilvl="6" w:tplc="B606BC82">
      <w:start w:val="1"/>
      <w:numFmt w:val="decimal"/>
      <w:lvlText w:val="%7."/>
      <w:lvlJc w:val="left"/>
      <w:pPr>
        <w:ind w:left="5040" w:hanging="360"/>
      </w:pPr>
    </w:lvl>
    <w:lvl w:ilvl="7" w:tplc="601EF6C6">
      <w:start w:val="1"/>
      <w:numFmt w:val="lowerLetter"/>
      <w:lvlText w:val="%8."/>
      <w:lvlJc w:val="left"/>
      <w:pPr>
        <w:ind w:left="5760" w:hanging="360"/>
      </w:pPr>
    </w:lvl>
    <w:lvl w:ilvl="8" w:tplc="A5E0F1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54559"/>
    <w:multiLevelType w:val="hybridMultilevel"/>
    <w:tmpl w:val="567E82A8"/>
    <w:lvl w:ilvl="0" w:tplc="E76CA970">
      <w:start w:val="1"/>
      <w:numFmt w:val="decimal"/>
      <w:lvlText w:val="%1."/>
      <w:lvlJc w:val="left"/>
      <w:pPr>
        <w:ind w:left="720" w:hanging="360"/>
      </w:pPr>
    </w:lvl>
    <w:lvl w:ilvl="1" w:tplc="A6720D7E">
      <w:start w:val="1"/>
      <w:numFmt w:val="lowerLetter"/>
      <w:lvlText w:val="%2."/>
      <w:lvlJc w:val="left"/>
      <w:pPr>
        <w:ind w:left="1440" w:hanging="360"/>
      </w:pPr>
    </w:lvl>
    <w:lvl w:ilvl="2" w:tplc="E8CA4D86">
      <w:start w:val="1"/>
      <w:numFmt w:val="lowerRoman"/>
      <w:lvlText w:val="%3."/>
      <w:lvlJc w:val="right"/>
      <w:pPr>
        <w:ind w:left="2160" w:hanging="180"/>
      </w:pPr>
    </w:lvl>
    <w:lvl w:ilvl="3" w:tplc="690EC3D2">
      <w:start w:val="1"/>
      <w:numFmt w:val="decimal"/>
      <w:lvlText w:val="%4."/>
      <w:lvlJc w:val="left"/>
      <w:pPr>
        <w:ind w:left="2880" w:hanging="360"/>
      </w:pPr>
    </w:lvl>
    <w:lvl w:ilvl="4" w:tplc="D99A80B8">
      <w:start w:val="1"/>
      <w:numFmt w:val="lowerLetter"/>
      <w:lvlText w:val="%5."/>
      <w:lvlJc w:val="left"/>
      <w:pPr>
        <w:ind w:left="3600" w:hanging="360"/>
      </w:pPr>
    </w:lvl>
    <w:lvl w:ilvl="5" w:tplc="7BBC80C6">
      <w:start w:val="1"/>
      <w:numFmt w:val="lowerRoman"/>
      <w:lvlText w:val="%6."/>
      <w:lvlJc w:val="right"/>
      <w:pPr>
        <w:ind w:left="4320" w:hanging="180"/>
      </w:pPr>
    </w:lvl>
    <w:lvl w:ilvl="6" w:tplc="A7FAC168">
      <w:start w:val="1"/>
      <w:numFmt w:val="decimal"/>
      <w:lvlText w:val="%7."/>
      <w:lvlJc w:val="left"/>
      <w:pPr>
        <w:ind w:left="5040" w:hanging="360"/>
      </w:pPr>
    </w:lvl>
    <w:lvl w:ilvl="7" w:tplc="67C0C65E">
      <w:start w:val="1"/>
      <w:numFmt w:val="lowerLetter"/>
      <w:lvlText w:val="%8."/>
      <w:lvlJc w:val="left"/>
      <w:pPr>
        <w:ind w:left="5760" w:hanging="360"/>
      </w:pPr>
    </w:lvl>
    <w:lvl w:ilvl="8" w:tplc="88F8374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632C3"/>
    <w:multiLevelType w:val="hybridMultilevel"/>
    <w:tmpl w:val="1A464146"/>
    <w:lvl w:ilvl="0" w:tplc="71727DF4">
      <w:start w:val="1"/>
      <w:numFmt w:val="decimal"/>
      <w:lvlText w:val="%1."/>
      <w:lvlJc w:val="left"/>
      <w:pPr>
        <w:ind w:left="720" w:hanging="360"/>
      </w:pPr>
    </w:lvl>
    <w:lvl w:ilvl="1" w:tplc="74F8A78E">
      <w:start w:val="1"/>
      <w:numFmt w:val="lowerLetter"/>
      <w:lvlText w:val="%2."/>
      <w:lvlJc w:val="left"/>
      <w:pPr>
        <w:ind w:left="1440" w:hanging="360"/>
      </w:pPr>
    </w:lvl>
    <w:lvl w:ilvl="2" w:tplc="8A567000">
      <w:start w:val="1"/>
      <w:numFmt w:val="lowerRoman"/>
      <w:lvlText w:val="%3."/>
      <w:lvlJc w:val="right"/>
      <w:pPr>
        <w:ind w:left="2160" w:hanging="180"/>
      </w:pPr>
    </w:lvl>
    <w:lvl w:ilvl="3" w:tplc="099C00A6">
      <w:start w:val="1"/>
      <w:numFmt w:val="decimal"/>
      <w:lvlText w:val="%4."/>
      <w:lvlJc w:val="left"/>
      <w:pPr>
        <w:ind w:left="2880" w:hanging="360"/>
      </w:pPr>
    </w:lvl>
    <w:lvl w:ilvl="4" w:tplc="20BC19FE">
      <w:start w:val="1"/>
      <w:numFmt w:val="lowerLetter"/>
      <w:lvlText w:val="%5."/>
      <w:lvlJc w:val="left"/>
      <w:pPr>
        <w:ind w:left="3600" w:hanging="360"/>
      </w:pPr>
    </w:lvl>
    <w:lvl w:ilvl="5" w:tplc="AD2CDCA2">
      <w:start w:val="1"/>
      <w:numFmt w:val="lowerRoman"/>
      <w:lvlText w:val="%6."/>
      <w:lvlJc w:val="right"/>
      <w:pPr>
        <w:ind w:left="4320" w:hanging="180"/>
      </w:pPr>
    </w:lvl>
    <w:lvl w:ilvl="6" w:tplc="B7165670">
      <w:start w:val="1"/>
      <w:numFmt w:val="decimal"/>
      <w:lvlText w:val="%7."/>
      <w:lvlJc w:val="left"/>
      <w:pPr>
        <w:ind w:left="5040" w:hanging="360"/>
      </w:pPr>
    </w:lvl>
    <w:lvl w:ilvl="7" w:tplc="5D54B42E">
      <w:start w:val="1"/>
      <w:numFmt w:val="lowerLetter"/>
      <w:lvlText w:val="%8."/>
      <w:lvlJc w:val="left"/>
      <w:pPr>
        <w:ind w:left="5760" w:hanging="360"/>
      </w:pPr>
    </w:lvl>
    <w:lvl w:ilvl="8" w:tplc="BAA255C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23D18"/>
    <w:multiLevelType w:val="hybridMultilevel"/>
    <w:tmpl w:val="08FE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B0BC9"/>
    <w:multiLevelType w:val="hybridMultilevel"/>
    <w:tmpl w:val="7A709EE4"/>
    <w:lvl w:ilvl="0" w:tplc="FE745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C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AD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85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6D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AA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0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F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F78DD"/>
    <w:multiLevelType w:val="hybridMultilevel"/>
    <w:tmpl w:val="0F520B3E"/>
    <w:lvl w:ilvl="0" w:tplc="BAFAA680">
      <w:start w:val="1"/>
      <w:numFmt w:val="decimal"/>
      <w:lvlText w:val="%1."/>
      <w:lvlJc w:val="left"/>
      <w:pPr>
        <w:ind w:left="720" w:hanging="360"/>
      </w:pPr>
    </w:lvl>
    <w:lvl w:ilvl="1" w:tplc="275083DC">
      <w:start w:val="1"/>
      <w:numFmt w:val="lowerLetter"/>
      <w:lvlText w:val="%2."/>
      <w:lvlJc w:val="left"/>
      <w:pPr>
        <w:ind w:left="1440" w:hanging="360"/>
      </w:pPr>
    </w:lvl>
    <w:lvl w:ilvl="2" w:tplc="37C60B60">
      <w:start w:val="1"/>
      <w:numFmt w:val="lowerRoman"/>
      <w:lvlText w:val="%3."/>
      <w:lvlJc w:val="right"/>
      <w:pPr>
        <w:ind w:left="2160" w:hanging="180"/>
      </w:pPr>
    </w:lvl>
    <w:lvl w:ilvl="3" w:tplc="AD2849A2">
      <w:start w:val="1"/>
      <w:numFmt w:val="decimal"/>
      <w:lvlText w:val="%4."/>
      <w:lvlJc w:val="left"/>
      <w:pPr>
        <w:ind w:left="2880" w:hanging="360"/>
      </w:pPr>
    </w:lvl>
    <w:lvl w:ilvl="4" w:tplc="4BF8B67E">
      <w:start w:val="1"/>
      <w:numFmt w:val="lowerLetter"/>
      <w:lvlText w:val="%5."/>
      <w:lvlJc w:val="left"/>
      <w:pPr>
        <w:ind w:left="3600" w:hanging="360"/>
      </w:pPr>
    </w:lvl>
    <w:lvl w:ilvl="5" w:tplc="B33A6AD4">
      <w:start w:val="1"/>
      <w:numFmt w:val="lowerRoman"/>
      <w:lvlText w:val="%6."/>
      <w:lvlJc w:val="right"/>
      <w:pPr>
        <w:ind w:left="4320" w:hanging="180"/>
      </w:pPr>
    </w:lvl>
    <w:lvl w:ilvl="6" w:tplc="AA4817D6">
      <w:start w:val="1"/>
      <w:numFmt w:val="decimal"/>
      <w:lvlText w:val="%7."/>
      <w:lvlJc w:val="left"/>
      <w:pPr>
        <w:ind w:left="5040" w:hanging="360"/>
      </w:pPr>
    </w:lvl>
    <w:lvl w:ilvl="7" w:tplc="E2CC71C6">
      <w:start w:val="1"/>
      <w:numFmt w:val="lowerLetter"/>
      <w:lvlText w:val="%8."/>
      <w:lvlJc w:val="left"/>
      <w:pPr>
        <w:ind w:left="5760" w:hanging="360"/>
      </w:pPr>
    </w:lvl>
    <w:lvl w:ilvl="8" w:tplc="4FBE8C2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D6E15"/>
    <w:multiLevelType w:val="hybridMultilevel"/>
    <w:tmpl w:val="D736B9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BE27C5"/>
    <w:multiLevelType w:val="hybridMultilevel"/>
    <w:tmpl w:val="4F70CF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35205"/>
    <w:multiLevelType w:val="hybridMultilevel"/>
    <w:tmpl w:val="AE14E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342246B"/>
    <w:multiLevelType w:val="hybridMultilevel"/>
    <w:tmpl w:val="4498020E"/>
    <w:lvl w:ilvl="0" w:tplc="7A0A72F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C8DC6A">
      <w:start w:val="1"/>
      <w:numFmt w:val="lowerRoman"/>
      <w:lvlText w:val="%3."/>
      <w:lvlJc w:val="right"/>
      <w:pPr>
        <w:ind w:left="2160" w:hanging="180"/>
      </w:pPr>
    </w:lvl>
    <w:lvl w:ilvl="3" w:tplc="5F76A47C">
      <w:start w:val="1"/>
      <w:numFmt w:val="decimal"/>
      <w:lvlText w:val="%4."/>
      <w:lvlJc w:val="left"/>
      <w:pPr>
        <w:ind w:left="2880" w:hanging="360"/>
      </w:pPr>
    </w:lvl>
    <w:lvl w:ilvl="4" w:tplc="CAB86EB4">
      <w:start w:val="1"/>
      <w:numFmt w:val="lowerLetter"/>
      <w:lvlText w:val="%5."/>
      <w:lvlJc w:val="left"/>
      <w:pPr>
        <w:ind w:left="3600" w:hanging="360"/>
      </w:pPr>
    </w:lvl>
    <w:lvl w:ilvl="5" w:tplc="5DCE1A70">
      <w:start w:val="1"/>
      <w:numFmt w:val="lowerRoman"/>
      <w:lvlText w:val="%6."/>
      <w:lvlJc w:val="right"/>
      <w:pPr>
        <w:ind w:left="4320" w:hanging="180"/>
      </w:pPr>
    </w:lvl>
    <w:lvl w:ilvl="6" w:tplc="B606BC82">
      <w:start w:val="1"/>
      <w:numFmt w:val="decimal"/>
      <w:lvlText w:val="%7."/>
      <w:lvlJc w:val="left"/>
      <w:pPr>
        <w:ind w:left="5040" w:hanging="360"/>
      </w:pPr>
    </w:lvl>
    <w:lvl w:ilvl="7" w:tplc="601EF6C6">
      <w:start w:val="1"/>
      <w:numFmt w:val="lowerLetter"/>
      <w:lvlText w:val="%8."/>
      <w:lvlJc w:val="left"/>
      <w:pPr>
        <w:ind w:left="5760" w:hanging="360"/>
      </w:pPr>
    </w:lvl>
    <w:lvl w:ilvl="8" w:tplc="A5E0F14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A3855"/>
    <w:multiLevelType w:val="hybridMultilevel"/>
    <w:tmpl w:val="C638DCBC"/>
    <w:lvl w:ilvl="0" w:tplc="C938F2CA">
      <w:start w:val="1"/>
      <w:numFmt w:val="decimal"/>
      <w:lvlText w:val="%1."/>
      <w:lvlJc w:val="left"/>
      <w:pPr>
        <w:ind w:left="720" w:hanging="360"/>
      </w:pPr>
    </w:lvl>
    <w:lvl w:ilvl="1" w:tplc="B184BCEE">
      <w:start w:val="1"/>
      <w:numFmt w:val="lowerLetter"/>
      <w:lvlText w:val="%2."/>
      <w:lvlJc w:val="left"/>
      <w:pPr>
        <w:ind w:left="1440" w:hanging="360"/>
      </w:pPr>
    </w:lvl>
    <w:lvl w:ilvl="2" w:tplc="6930E416">
      <w:start w:val="1"/>
      <w:numFmt w:val="lowerRoman"/>
      <w:lvlText w:val="%3."/>
      <w:lvlJc w:val="right"/>
      <w:pPr>
        <w:ind w:left="2160" w:hanging="180"/>
      </w:pPr>
    </w:lvl>
    <w:lvl w:ilvl="3" w:tplc="CC9874E2">
      <w:start w:val="1"/>
      <w:numFmt w:val="decimal"/>
      <w:lvlText w:val="%4."/>
      <w:lvlJc w:val="left"/>
      <w:pPr>
        <w:ind w:left="2880" w:hanging="360"/>
      </w:pPr>
    </w:lvl>
    <w:lvl w:ilvl="4" w:tplc="874E24B4">
      <w:start w:val="1"/>
      <w:numFmt w:val="lowerLetter"/>
      <w:lvlText w:val="%5."/>
      <w:lvlJc w:val="left"/>
      <w:pPr>
        <w:ind w:left="3600" w:hanging="360"/>
      </w:pPr>
    </w:lvl>
    <w:lvl w:ilvl="5" w:tplc="87265B34">
      <w:start w:val="1"/>
      <w:numFmt w:val="lowerRoman"/>
      <w:lvlText w:val="%6."/>
      <w:lvlJc w:val="right"/>
      <w:pPr>
        <w:ind w:left="4320" w:hanging="180"/>
      </w:pPr>
    </w:lvl>
    <w:lvl w:ilvl="6" w:tplc="5E683020">
      <w:start w:val="1"/>
      <w:numFmt w:val="decimal"/>
      <w:lvlText w:val="%7."/>
      <w:lvlJc w:val="left"/>
      <w:pPr>
        <w:ind w:left="5040" w:hanging="360"/>
      </w:pPr>
    </w:lvl>
    <w:lvl w:ilvl="7" w:tplc="C02C0854">
      <w:start w:val="1"/>
      <w:numFmt w:val="lowerLetter"/>
      <w:lvlText w:val="%8."/>
      <w:lvlJc w:val="left"/>
      <w:pPr>
        <w:ind w:left="5760" w:hanging="360"/>
      </w:pPr>
    </w:lvl>
    <w:lvl w:ilvl="8" w:tplc="DC6CC9A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9643D"/>
    <w:multiLevelType w:val="hybridMultilevel"/>
    <w:tmpl w:val="9722707C"/>
    <w:lvl w:ilvl="0" w:tplc="E1367960">
      <w:start w:val="1"/>
      <w:numFmt w:val="decimal"/>
      <w:lvlText w:val="%1."/>
      <w:lvlJc w:val="left"/>
      <w:pPr>
        <w:ind w:left="720" w:hanging="360"/>
      </w:pPr>
    </w:lvl>
    <w:lvl w:ilvl="1" w:tplc="C544444A">
      <w:start w:val="1"/>
      <w:numFmt w:val="lowerLetter"/>
      <w:lvlText w:val="%2."/>
      <w:lvlJc w:val="left"/>
      <w:pPr>
        <w:ind w:left="1440" w:hanging="360"/>
      </w:pPr>
    </w:lvl>
    <w:lvl w:ilvl="2" w:tplc="29249A4A">
      <w:start w:val="1"/>
      <w:numFmt w:val="lowerRoman"/>
      <w:lvlText w:val="%3."/>
      <w:lvlJc w:val="right"/>
      <w:pPr>
        <w:ind w:left="2160" w:hanging="180"/>
      </w:pPr>
    </w:lvl>
    <w:lvl w:ilvl="3" w:tplc="7194C334">
      <w:start w:val="1"/>
      <w:numFmt w:val="decimal"/>
      <w:lvlText w:val="%4."/>
      <w:lvlJc w:val="left"/>
      <w:pPr>
        <w:ind w:left="2880" w:hanging="360"/>
      </w:pPr>
    </w:lvl>
    <w:lvl w:ilvl="4" w:tplc="35323882">
      <w:start w:val="1"/>
      <w:numFmt w:val="lowerLetter"/>
      <w:lvlText w:val="%5."/>
      <w:lvlJc w:val="left"/>
      <w:pPr>
        <w:ind w:left="3600" w:hanging="360"/>
      </w:pPr>
    </w:lvl>
    <w:lvl w:ilvl="5" w:tplc="41060D26">
      <w:start w:val="1"/>
      <w:numFmt w:val="lowerRoman"/>
      <w:lvlText w:val="%6."/>
      <w:lvlJc w:val="right"/>
      <w:pPr>
        <w:ind w:left="4320" w:hanging="180"/>
      </w:pPr>
    </w:lvl>
    <w:lvl w:ilvl="6" w:tplc="CF5C8972">
      <w:start w:val="1"/>
      <w:numFmt w:val="decimal"/>
      <w:lvlText w:val="%7."/>
      <w:lvlJc w:val="left"/>
      <w:pPr>
        <w:ind w:left="5040" w:hanging="360"/>
      </w:pPr>
    </w:lvl>
    <w:lvl w:ilvl="7" w:tplc="67EA0654">
      <w:start w:val="1"/>
      <w:numFmt w:val="lowerLetter"/>
      <w:lvlText w:val="%8."/>
      <w:lvlJc w:val="left"/>
      <w:pPr>
        <w:ind w:left="5760" w:hanging="360"/>
      </w:pPr>
    </w:lvl>
    <w:lvl w:ilvl="8" w:tplc="47FE72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57F06"/>
    <w:multiLevelType w:val="hybridMultilevel"/>
    <w:tmpl w:val="A518216C"/>
    <w:lvl w:ilvl="0" w:tplc="8BD83F44">
      <w:start w:val="1"/>
      <w:numFmt w:val="decimal"/>
      <w:lvlText w:val="%1."/>
      <w:lvlJc w:val="left"/>
      <w:pPr>
        <w:ind w:left="720" w:hanging="360"/>
      </w:pPr>
    </w:lvl>
    <w:lvl w:ilvl="1" w:tplc="868AF27C">
      <w:start w:val="1"/>
      <w:numFmt w:val="lowerLetter"/>
      <w:lvlText w:val="%2."/>
      <w:lvlJc w:val="left"/>
      <w:pPr>
        <w:ind w:left="1440" w:hanging="360"/>
      </w:pPr>
    </w:lvl>
    <w:lvl w:ilvl="2" w:tplc="366AEBBE">
      <w:start w:val="1"/>
      <w:numFmt w:val="lowerRoman"/>
      <w:lvlText w:val="%3."/>
      <w:lvlJc w:val="right"/>
      <w:pPr>
        <w:ind w:left="2160" w:hanging="180"/>
      </w:pPr>
    </w:lvl>
    <w:lvl w:ilvl="3" w:tplc="58DAFADE">
      <w:start w:val="1"/>
      <w:numFmt w:val="decimal"/>
      <w:lvlText w:val="%4."/>
      <w:lvlJc w:val="left"/>
      <w:pPr>
        <w:ind w:left="2880" w:hanging="360"/>
      </w:pPr>
    </w:lvl>
    <w:lvl w:ilvl="4" w:tplc="B36495A2">
      <w:start w:val="1"/>
      <w:numFmt w:val="lowerLetter"/>
      <w:lvlText w:val="%5."/>
      <w:lvlJc w:val="left"/>
      <w:pPr>
        <w:ind w:left="3600" w:hanging="360"/>
      </w:pPr>
    </w:lvl>
    <w:lvl w:ilvl="5" w:tplc="13ECB550">
      <w:start w:val="1"/>
      <w:numFmt w:val="lowerRoman"/>
      <w:lvlText w:val="%6."/>
      <w:lvlJc w:val="right"/>
      <w:pPr>
        <w:ind w:left="4320" w:hanging="180"/>
      </w:pPr>
    </w:lvl>
    <w:lvl w:ilvl="6" w:tplc="5F082FD0">
      <w:start w:val="1"/>
      <w:numFmt w:val="decimal"/>
      <w:lvlText w:val="%7."/>
      <w:lvlJc w:val="left"/>
      <w:pPr>
        <w:ind w:left="5040" w:hanging="360"/>
      </w:pPr>
    </w:lvl>
    <w:lvl w:ilvl="7" w:tplc="A0962D86">
      <w:start w:val="1"/>
      <w:numFmt w:val="lowerLetter"/>
      <w:lvlText w:val="%8."/>
      <w:lvlJc w:val="left"/>
      <w:pPr>
        <w:ind w:left="5760" w:hanging="360"/>
      </w:pPr>
    </w:lvl>
    <w:lvl w:ilvl="8" w:tplc="F84AC4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017F2"/>
    <w:multiLevelType w:val="hybridMultilevel"/>
    <w:tmpl w:val="EE943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4E2D6E"/>
    <w:multiLevelType w:val="hybridMultilevel"/>
    <w:tmpl w:val="2C529C2A"/>
    <w:lvl w:ilvl="0" w:tplc="A588E464">
      <w:start w:val="1"/>
      <w:numFmt w:val="lowerLetter"/>
      <w:lvlText w:val="%1."/>
      <w:lvlJc w:val="left"/>
      <w:pPr>
        <w:ind w:left="720" w:hanging="360"/>
      </w:pPr>
    </w:lvl>
    <w:lvl w:ilvl="1" w:tplc="8F6E030A">
      <w:start w:val="1"/>
      <w:numFmt w:val="lowerLetter"/>
      <w:lvlText w:val="%2."/>
      <w:lvlJc w:val="left"/>
      <w:pPr>
        <w:ind w:left="1440" w:hanging="360"/>
      </w:pPr>
    </w:lvl>
    <w:lvl w:ilvl="2" w:tplc="0212AF52">
      <w:start w:val="1"/>
      <w:numFmt w:val="lowerRoman"/>
      <w:lvlText w:val="%3."/>
      <w:lvlJc w:val="right"/>
      <w:pPr>
        <w:ind w:left="2160" w:hanging="180"/>
      </w:pPr>
    </w:lvl>
    <w:lvl w:ilvl="3" w:tplc="791ED58C">
      <w:start w:val="1"/>
      <w:numFmt w:val="decimal"/>
      <w:lvlText w:val="%4."/>
      <w:lvlJc w:val="left"/>
      <w:pPr>
        <w:ind w:left="2880" w:hanging="360"/>
      </w:pPr>
    </w:lvl>
    <w:lvl w:ilvl="4" w:tplc="F828D230">
      <w:start w:val="1"/>
      <w:numFmt w:val="lowerLetter"/>
      <w:lvlText w:val="%5."/>
      <w:lvlJc w:val="left"/>
      <w:pPr>
        <w:ind w:left="3600" w:hanging="360"/>
      </w:pPr>
    </w:lvl>
    <w:lvl w:ilvl="5" w:tplc="0700EB58">
      <w:start w:val="1"/>
      <w:numFmt w:val="lowerRoman"/>
      <w:lvlText w:val="%6."/>
      <w:lvlJc w:val="right"/>
      <w:pPr>
        <w:ind w:left="4320" w:hanging="180"/>
      </w:pPr>
    </w:lvl>
    <w:lvl w:ilvl="6" w:tplc="24F2D116">
      <w:start w:val="1"/>
      <w:numFmt w:val="decimal"/>
      <w:lvlText w:val="%7."/>
      <w:lvlJc w:val="left"/>
      <w:pPr>
        <w:ind w:left="5040" w:hanging="360"/>
      </w:pPr>
    </w:lvl>
    <w:lvl w:ilvl="7" w:tplc="F0B86E16">
      <w:start w:val="1"/>
      <w:numFmt w:val="lowerLetter"/>
      <w:lvlText w:val="%8."/>
      <w:lvlJc w:val="left"/>
      <w:pPr>
        <w:ind w:left="5760" w:hanging="360"/>
      </w:pPr>
    </w:lvl>
    <w:lvl w:ilvl="8" w:tplc="E29AA8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1"/>
  </w:num>
  <w:num w:numId="7">
    <w:abstractNumId w:val="4"/>
  </w:num>
  <w:num w:numId="8">
    <w:abstractNumId w:val="14"/>
  </w:num>
  <w:num w:numId="9">
    <w:abstractNumId w:val="17"/>
  </w:num>
  <w:num w:numId="10">
    <w:abstractNumId w:val="15"/>
  </w:num>
  <w:num w:numId="11">
    <w:abstractNumId w:val="10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02"/>
    <w:rsid w:val="0000143E"/>
    <w:rsid w:val="00007E5F"/>
    <w:rsid w:val="000236D3"/>
    <w:rsid w:val="000445FE"/>
    <w:rsid w:val="0005320C"/>
    <w:rsid w:val="000A03D3"/>
    <w:rsid w:val="0010169E"/>
    <w:rsid w:val="001303FE"/>
    <w:rsid w:val="0014471C"/>
    <w:rsid w:val="001452BA"/>
    <w:rsid w:val="001477D7"/>
    <w:rsid w:val="00165D24"/>
    <w:rsid w:val="001730A8"/>
    <w:rsid w:val="0019649B"/>
    <w:rsid w:val="001A7826"/>
    <w:rsid w:val="001F3653"/>
    <w:rsid w:val="001F6ABB"/>
    <w:rsid w:val="00244EAA"/>
    <w:rsid w:val="00270392"/>
    <w:rsid w:val="002A3828"/>
    <w:rsid w:val="002E6C9D"/>
    <w:rsid w:val="0031605C"/>
    <w:rsid w:val="0032388E"/>
    <w:rsid w:val="00325989"/>
    <w:rsid w:val="00340B3D"/>
    <w:rsid w:val="003B6AEA"/>
    <w:rsid w:val="003C0127"/>
    <w:rsid w:val="003F0CCA"/>
    <w:rsid w:val="003F79E9"/>
    <w:rsid w:val="00415D96"/>
    <w:rsid w:val="00420D34"/>
    <w:rsid w:val="0047310F"/>
    <w:rsid w:val="004756E1"/>
    <w:rsid w:val="004F778E"/>
    <w:rsid w:val="00526025"/>
    <w:rsid w:val="0053794B"/>
    <w:rsid w:val="00587034"/>
    <w:rsid w:val="00595E4D"/>
    <w:rsid w:val="00596C84"/>
    <w:rsid w:val="005B593A"/>
    <w:rsid w:val="005C581F"/>
    <w:rsid w:val="005C62DC"/>
    <w:rsid w:val="005C7381"/>
    <w:rsid w:val="005D7582"/>
    <w:rsid w:val="005E0D00"/>
    <w:rsid w:val="006250A0"/>
    <w:rsid w:val="006926F4"/>
    <w:rsid w:val="006A30F1"/>
    <w:rsid w:val="006B32A1"/>
    <w:rsid w:val="006B70BA"/>
    <w:rsid w:val="006C42FA"/>
    <w:rsid w:val="006E376A"/>
    <w:rsid w:val="006F28F6"/>
    <w:rsid w:val="00725B64"/>
    <w:rsid w:val="007345A8"/>
    <w:rsid w:val="00743829"/>
    <w:rsid w:val="00757465"/>
    <w:rsid w:val="00763776"/>
    <w:rsid w:val="007B7391"/>
    <w:rsid w:val="007C1983"/>
    <w:rsid w:val="00830CE5"/>
    <w:rsid w:val="00855A4C"/>
    <w:rsid w:val="00880ED2"/>
    <w:rsid w:val="008C5F7D"/>
    <w:rsid w:val="008D1005"/>
    <w:rsid w:val="008F4A87"/>
    <w:rsid w:val="008F58C0"/>
    <w:rsid w:val="00931678"/>
    <w:rsid w:val="00931A73"/>
    <w:rsid w:val="00950F0B"/>
    <w:rsid w:val="0095755A"/>
    <w:rsid w:val="0096206D"/>
    <w:rsid w:val="009A3E83"/>
    <w:rsid w:val="009C626B"/>
    <w:rsid w:val="00A107A6"/>
    <w:rsid w:val="00A1621D"/>
    <w:rsid w:val="00A50F6A"/>
    <w:rsid w:val="00A553B5"/>
    <w:rsid w:val="00AC5526"/>
    <w:rsid w:val="00AD544A"/>
    <w:rsid w:val="00AE1329"/>
    <w:rsid w:val="00B03D4E"/>
    <w:rsid w:val="00B12BB8"/>
    <w:rsid w:val="00B22E95"/>
    <w:rsid w:val="00B2642B"/>
    <w:rsid w:val="00B818FE"/>
    <w:rsid w:val="00BA3F2D"/>
    <w:rsid w:val="00BA6053"/>
    <w:rsid w:val="00BB44C3"/>
    <w:rsid w:val="00BD7EBF"/>
    <w:rsid w:val="00C452F8"/>
    <w:rsid w:val="00C57771"/>
    <w:rsid w:val="00C673B1"/>
    <w:rsid w:val="00CD0002"/>
    <w:rsid w:val="00D01FE6"/>
    <w:rsid w:val="00D041ED"/>
    <w:rsid w:val="00D063E2"/>
    <w:rsid w:val="00D152CD"/>
    <w:rsid w:val="00D24D94"/>
    <w:rsid w:val="00D250D0"/>
    <w:rsid w:val="00D31081"/>
    <w:rsid w:val="00D356BA"/>
    <w:rsid w:val="00D43B37"/>
    <w:rsid w:val="00DA1E67"/>
    <w:rsid w:val="00DA4605"/>
    <w:rsid w:val="00DB2F67"/>
    <w:rsid w:val="00DC493A"/>
    <w:rsid w:val="00DD4795"/>
    <w:rsid w:val="00DF11A8"/>
    <w:rsid w:val="00E047DA"/>
    <w:rsid w:val="00E3653F"/>
    <w:rsid w:val="00E64AE5"/>
    <w:rsid w:val="00E94357"/>
    <w:rsid w:val="00E95F9E"/>
    <w:rsid w:val="00EA176D"/>
    <w:rsid w:val="00EB7CFF"/>
    <w:rsid w:val="00F04789"/>
    <w:rsid w:val="00F1580D"/>
    <w:rsid w:val="00FC68C3"/>
    <w:rsid w:val="00FF115A"/>
    <w:rsid w:val="0B817AD3"/>
    <w:rsid w:val="0C3CF587"/>
    <w:rsid w:val="10E7D661"/>
    <w:rsid w:val="2CDF10F5"/>
    <w:rsid w:val="377A374B"/>
    <w:rsid w:val="397C32C8"/>
    <w:rsid w:val="57F77A16"/>
    <w:rsid w:val="5F408EFA"/>
    <w:rsid w:val="6F7315AA"/>
    <w:rsid w:val="6FAF2D0B"/>
    <w:rsid w:val="7DDA8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69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5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1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A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3A"/>
  </w:style>
  <w:style w:type="character" w:styleId="PageNumber">
    <w:name w:val="page number"/>
    <w:basedOn w:val="DefaultParagraphFont"/>
    <w:uiPriority w:val="99"/>
    <w:semiHidden/>
    <w:unhideWhenUsed/>
    <w:rsid w:val="005B59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5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1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A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3A"/>
  </w:style>
  <w:style w:type="character" w:styleId="PageNumber">
    <w:name w:val="page number"/>
    <w:basedOn w:val="DefaultParagraphFont"/>
    <w:uiPriority w:val="99"/>
    <w:semiHidden/>
    <w:unhideWhenUsed/>
    <w:rsid w:val="005B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2986</Words>
  <Characters>17026</Characters>
  <Application>Microsoft Macintosh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Pippa  Gibson</cp:lastModifiedBy>
  <cp:revision>2</cp:revision>
  <cp:lastPrinted>2017-03-30T15:25:00Z</cp:lastPrinted>
  <dcterms:created xsi:type="dcterms:W3CDTF">2017-04-21T15:39:00Z</dcterms:created>
  <dcterms:modified xsi:type="dcterms:W3CDTF">2017-04-21T15:39:00Z</dcterms:modified>
</cp:coreProperties>
</file>