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808" w:rsidRPr="00D93BB5" w:rsidRDefault="00C44B56" w:rsidP="005F698C">
      <w:pPr>
        <w:pStyle w:val="Title"/>
        <w:rPr>
          <w:rFonts w:ascii="Times New Roman" w:hAnsi="Times New Roman" w:cs="Times New Roman"/>
        </w:rPr>
      </w:pPr>
      <w:r w:rsidRPr="00BA79C3">
        <w:rPr>
          <w:noProof/>
        </w:rPr>
        <w:drawing>
          <wp:anchor distT="0" distB="0" distL="114300" distR="114300" simplePos="0" relativeHeight="251660288" behindDoc="0" locked="0" layoutInCell="1" allowOverlap="1" wp14:anchorId="41124B3D" wp14:editId="75DD4444">
            <wp:simplePos x="0" y="0"/>
            <wp:positionH relativeFrom="page">
              <wp:posOffset>5356860</wp:posOffset>
            </wp:positionH>
            <wp:positionV relativeFrom="page">
              <wp:posOffset>1649095</wp:posOffset>
            </wp:positionV>
            <wp:extent cx="1332230" cy="1173480"/>
            <wp:effectExtent l="19050" t="19050" r="20320" b="26670"/>
            <wp:wrapThrough wrapText="bothSides">
              <wp:wrapPolygon edited="0">
                <wp:start x="-309" y="-351"/>
                <wp:lineTo x="-309" y="21740"/>
                <wp:lineTo x="21621" y="21740"/>
                <wp:lineTo x="21621" y="-351"/>
                <wp:lineTo x="-309" y="-351"/>
              </wp:wrapPolygon>
            </wp:wrapThrough>
            <wp:docPr id="11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2" descr="Ramirez and Rabbi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32230" cy="1173480"/>
                    </a:xfrm>
                    <a:prstGeom prst="rect">
                      <a:avLst/>
                    </a:prstGeom>
                    <a:noFill/>
                    <a:ln w="19050">
                      <a:solidFill>
                        <a:schemeClr val="tx1"/>
                      </a:solidFill>
                      <a:bevel/>
                      <a:headEnd/>
                      <a:tailEnd/>
                    </a:ln>
                  </pic:spPr>
                </pic:pic>
              </a:graphicData>
            </a:graphic>
            <wp14:sizeRelH relativeFrom="margin">
              <wp14:pctWidth>0</wp14:pctWidth>
            </wp14:sizeRelH>
            <wp14:sizeRelV relativeFrom="margin">
              <wp14:pctHeight>0</wp14:pctHeight>
            </wp14:sizeRelV>
          </wp:anchor>
        </w:drawing>
      </w:r>
      <w:r w:rsidR="009C1167" w:rsidRPr="00D93BB5">
        <w:rPr>
          <w:rFonts w:ascii="Times New Roman" w:hAnsi="Times New Roman" w:cs="Times New Roman"/>
        </w:rPr>
        <w:t>Welcome from the S</w:t>
      </w:r>
      <w:r w:rsidR="00D05612" w:rsidRPr="00D93BB5">
        <w:rPr>
          <w:rFonts w:ascii="Times New Roman" w:hAnsi="Times New Roman" w:cs="Times New Roman"/>
        </w:rPr>
        <w:t>tudent Learning</w:t>
      </w:r>
      <w:r w:rsidR="008F6693" w:rsidRPr="00D93BB5">
        <w:rPr>
          <w:rFonts w:ascii="Times New Roman" w:hAnsi="Times New Roman" w:cs="Times New Roman"/>
        </w:rPr>
        <w:t xml:space="preserve"> Outcome Coordinators</w:t>
      </w:r>
    </w:p>
    <w:p w:rsidR="009C1167" w:rsidRPr="00D93BB5" w:rsidRDefault="00C44B56" w:rsidP="005F698C">
      <w:pPr>
        <w:pStyle w:val="Title"/>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column">
              <wp:posOffset>2895600</wp:posOffset>
            </wp:positionH>
            <wp:positionV relativeFrom="page">
              <wp:posOffset>1924050</wp:posOffset>
            </wp:positionV>
            <wp:extent cx="1171575" cy="1515745"/>
            <wp:effectExtent l="19050" t="19050" r="28575" b="27305"/>
            <wp:wrapThrough wrapText="bothSides">
              <wp:wrapPolygon edited="0">
                <wp:start x="-351" y="-271"/>
                <wp:lineTo x="-351" y="21718"/>
                <wp:lineTo x="21776" y="21718"/>
                <wp:lineTo x="21776" y="-271"/>
                <wp:lineTo x="-351" y="-271"/>
              </wp:wrapPolygon>
            </wp:wrapThrough>
            <wp:docPr id="5" name="Picture 5" descr="Picture of Mary P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of Mary P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5157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9C1167" w:rsidRPr="00D93BB5">
        <w:rPr>
          <w:rFonts w:ascii="Times New Roman" w:hAnsi="Times New Roman" w:cs="Times New Roman"/>
        </w:rPr>
        <w:t>SLO/SSLO/AUO</w:t>
      </w:r>
    </w:p>
    <w:p w:rsidR="008F6693" w:rsidRDefault="008F6693" w:rsidP="009C1167"/>
    <w:p w:rsidR="00D05612" w:rsidRDefault="005F698C" w:rsidP="009C1167">
      <w:r w:rsidRPr="00D05612">
        <w:rPr>
          <w:noProof/>
        </w:rPr>
        <w:drawing>
          <wp:anchor distT="0" distB="0" distL="114300" distR="114300" simplePos="0" relativeHeight="251661312" behindDoc="0" locked="0" layoutInCell="1" allowOverlap="1" wp14:anchorId="0ABACA87">
            <wp:simplePos x="0" y="0"/>
            <wp:positionH relativeFrom="page">
              <wp:posOffset>2266950</wp:posOffset>
            </wp:positionH>
            <wp:positionV relativeFrom="paragraph">
              <wp:posOffset>140970</wp:posOffset>
            </wp:positionV>
            <wp:extent cx="1053465" cy="1524000"/>
            <wp:effectExtent l="0" t="0" r="0" b="0"/>
            <wp:wrapThrough wrapText="bothSides">
              <wp:wrapPolygon edited="0">
                <wp:start x="0" y="0"/>
                <wp:lineTo x="0" y="21330"/>
                <wp:lineTo x="21092" y="21330"/>
                <wp:lineTo x="210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346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1167" w:rsidRDefault="00C44B56" w:rsidP="009C1167">
      <w:r w:rsidRPr="005F698C">
        <w:rPr>
          <w:noProof/>
        </w:rPr>
        <w:drawing>
          <wp:anchor distT="0" distB="0" distL="114300" distR="114300" simplePos="0" relativeHeight="251662336" behindDoc="0" locked="0" layoutInCell="1" allowOverlap="1" wp14:anchorId="326FCF05">
            <wp:simplePos x="0" y="0"/>
            <wp:positionH relativeFrom="page">
              <wp:posOffset>438150</wp:posOffset>
            </wp:positionH>
            <wp:positionV relativeFrom="paragraph">
              <wp:posOffset>318135</wp:posOffset>
            </wp:positionV>
            <wp:extent cx="1381125" cy="1605915"/>
            <wp:effectExtent l="19050" t="19050" r="28575" b="13335"/>
            <wp:wrapThrough wrapText="bothSides">
              <wp:wrapPolygon edited="0">
                <wp:start x="-298" y="-256"/>
                <wp:lineTo x="-298" y="21523"/>
                <wp:lineTo x="21749" y="21523"/>
                <wp:lineTo x="21749" y="-256"/>
                <wp:lineTo x="-298" y="-256"/>
              </wp:wrapPolygon>
            </wp:wrapThrough>
            <wp:docPr id="11274" name="Picture 10" descr="IMG_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 name="Picture 10" descr="IMG_0444.jpg"/>
                    <pic:cNvPicPr>
                      <a:picLocks noChangeAspect="1" noChangeArrowheads="1"/>
                    </pic:cNvPicPr>
                  </pic:nvPicPr>
                  <pic:blipFill>
                    <a:blip r:embed="rId8" cstate="print">
                      <a:extLst>
                        <a:ext uri="{28A0092B-C50C-407E-A947-70E740481C1C}">
                          <a14:useLocalDpi xmlns:a14="http://schemas.microsoft.com/office/drawing/2010/main" val="0"/>
                        </a:ext>
                      </a:extLst>
                    </a:blip>
                    <a:srcRect l="17686" t="9341" r="10976" b="17964"/>
                    <a:stretch>
                      <a:fillRect/>
                    </a:stretch>
                  </pic:blipFill>
                  <pic:spPr bwMode="auto">
                    <a:xfrm>
                      <a:off x="0" y="0"/>
                      <a:ext cx="1381125" cy="1605915"/>
                    </a:xfrm>
                    <a:prstGeom prst="rect">
                      <a:avLst/>
                    </a:prstGeom>
                    <a:noFill/>
                    <a:ln w="12700">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rsidR="009C1167" w:rsidRDefault="009C1167" w:rsidP="009C1167"/>
    <w:p w:rsidR="005F698C" w:rsidRDefault="00C44B56" w:rsidP="009C1167">
      <w:r>
        <w:rPr>
          <w:noProof/>
        </w:rPr>
        <mc:AlternateContent>
          <mc:Choice Requires="wps">
            <w:drawing>
              <wp:anchor distT="0" distB="0" distL="114300" distR="114300" simplePos="0" relativeHeight="251663360" behindDoc="0" locked="0" layoutInCell="1" allowOverlap="1">
                <wp:simplePos x="0" y="0"/>
                <wp:positionH relativeFrom="column">
                  <wp:posOffset>4526915</wp:posOffset>
                </wp:positionH>
                <wp:positionV relativeFrom="paragraph">
                  <wp:posOffset>129540</wp:posOffset>
                </wp:positionV>
                <wp:extent cx="1304925" cy="3714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304925" cy="371475"/>
                        </a:xfrm>
                        <a:prstGeom prst="rect">
                          <a:avLst/>
                        </a:prstGeom>
                        <a:solidFill>
                          <a:schemeClr val="lt1"/>
                        </a:solidFill>
                        <a:ln w="6350">
                          <a:noFill/>
                        </a:ln>
                      </wps:spPr>
                      <wps:txbx>
                        <w:txbxContent>
                          <w:p w:rsidR="005F698C" w:rsidRDefault="005F698C" w:rsidP="005F698C">
                            <w:pPr>
                              <w:jc w:val="center"/>
                            </w:pPr>
                            <w:proofErr w:type="spellStart"/>
                            <w:r>
                              <w:t>Toño</w:t>
                            </w:r>
                            <w:proofErr w:type="spellEnd"/>
                            <w:r>
                              <w:t xml:space="preserve"> Ramirez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6.45pt;margin-top:10.2pt;width:102.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" fillcolor="white [3201]" stroked="f" strokeweight=".5pt">
                <v:textbox>
                  <w:txbxContent>
                    <w:p w:rsidR="005F698C" w:rsidRDefault="005F698C" w:rsidP="005F698C">
                      <w:pPr>
                        <w:jc w:val="center"/>
                      </w:pPr>
                      <w:proofErr w:type="spellStart"/>
                      <w:r>
                        <w:t>Toño</w:t>
                      </w:r>
                      <w:proofErr w:type="spellEnd"/>
                      <w:r>
                        <w:t xml:space="preserve"> Ramirez</w:t>
                      </w:r>
                    </w:p>
                  </w:txbxContent>
                </v:textbox>
              </v:shape>
            </w:pict>
          </mc:Fallback>
        </mc:AlternateContent>
      </w:r>
    </w:p>
    <w:p w:rsidR="005F698C" w:rsidRDefault="005F698C" w:rsidP="009C1167"/>
    <w:p w:rsidR="005F698C" w:rsidRDefault="005F698C" w:rsidP="009C1167"/>
    <w:p w:rsidR="005F698C" w:rsidRDefault="00C44B56" w:rsidP="009C1167">
      <w:r>
        <w:rPr>
          <w:noProof/>
        </w:rPr>
        <mc:AlternateContent>
          <mc:Choice Requires="wps">
            <w:drawing>
              <wp:anchor distT="0" distB="0" distL="114300" distR="114300" simplePos="0" relativeHeight="251669504" behindDoc="0" locked="0" layoutInCell="1" allowOverlap="1" wp14:anchorId="71269929" wp14:editId="70CEA21E">
                <wp:simplePos x="0" y="0"/>
                <wp:positionH relativeFrom="column">
                  <wp:posOffset>2970530</wp:posOffset>
                </wp:positionH>
                <wp:positionV relativeFrom="paragraph">
                  <wp:posOffset>123190</wp:posOffset>
                </wp:positionV>
                <wp:extent cx="1304925" cy="3714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1304925" cy="371475"/>
                        </a:xfrm>
                        <a:prstGeom prst="rect">
                          <a:avLst/>
                        </a:prstGeom>
                        <a:solidFill>
                          <a:schemeClr val="lt1"/>
                        </a:solidFill>
                        <a:ln w="6350">
                          <a:noFill/>
                        </a:ln>
                      </wps:spPr>
                      <wps:txbx>
                        <w:txbxContent>
                          <w:p w:rsidR="005F698C" w:rsidRDefault="005F698C" w:rsidP="005F698C">
                            <w:pPr>
                              <w:jc w:val="center"/>
                            </w:pPr>
                            <w:r>
                              <w:t>Mary Pape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9929" id="Text Box 10" o:spid="_x0000_s1027" type="#_x0000_t202" style="position:absolute;margin-left:233.9pt;margin-top:9.7pt;width:102.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" fillcolor="white [3201]" stroked="f" strokeweight=".5pt">
                <v:textbox>
                  <w:txbxContent>
                    <w:p w:rsidR="005F698C" w:rsidRDefault="005F698C" w:rsidP="005F698C">
                      <w:pPr>
                        <w:jc w:val="center"/>
                      </w:pPr>
                      <w:r>
                        <w:t>Mary Pape</w:t>
                      </w:r>
                    </w:p>
                  </w:txbxContent>
                </v:textbox>
              </v:shape>
            </w:pict>
          </mc:Fallback>
        </mc:AlternateContent>
      </w:r>
    </w:p>
    <w:p w:rsidR="005F698C" w:rsidRDefault="005F698C" w:rsidP="009C1167"/>
    <w:p w:rsidR="005F698C" w:rsidRDefault="005F698C" w:rsidP="009C1167"/>
    <w:p w:rsidR="005F698C" w:rsidRDefault="00C44B56" w:rsidP="009C1167">
      <w:r>
        <w:rPr>
          <w:noProof/>
        </w:rPr>
        <mc:AlternateContent>
          <mc:Choice Requires="wps">
            <w:drawing>
              <wp:anchor distT="0" distB="0" distL="114300" distR="114300" simplePos="0" relativeHeight="251667456" behindDoc="0" locked="0" layoutInCell="1" allowOverlap="1" wp14:anchorId="71269929" wp14:editId="70CEA21E">
                <wp:simplePos x="0" y="0"/>
                <wp:positionH relativeFrom="column">
                  <wp:posOffset>1350010</wp:posOffset>
                </wp:positionH>
                <wp:positionV relativeFrom="paragraph">
                  <wp:posOffset>89535</wp:posOffset>
                </wp:positionV>
                <wp:extent cx="1304925" cy="3714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304925" cy="371475"/>
                        </a:xfrm>
                        <a:prstGeom prst="rect">
                          <a:avLst/>
                        </a:prstGeom>
                        <a:solidFill>
                          <a:schemeClr val="lt1"/>
                        </a:solidFill>
                        <a:ln w="6350">
                          <a:noFill/>
                        </a:ln>
                      </wps:spPr>
                      <wps:txbx>
                        <w:txbxContent>
                          <w:p w:rsidR="005F698C" w:rsidRDefault="005F698C" w:rsidP="005F698C">
                            <w:pPr>
                              <w:jc w:val="center"/>
                            </w:pPr>
                            <w:r>
                              <w:t>Amy Leonard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9929" id="Text Box 9" o:spid="_x0000_s1028" type="#_x0000_t202" style="position:absolute;margin-left:106.3pt;margin-top:7.05pt;width:102.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" fillcolor="white [3201]" stroked="f" strokeweight=".5pt">
                <v:textbox>
                  <w:txbxContent>
                    <w:p w:rsidR="005F698C" w:rsidRDefault="005F698C" w:rsidP="005F698C">
                      <w:pPr>
                        <w:jc w:val="center"/>
                      </w:pPr>
                      <w:r>
                        <w:t>Amy Leonard</w:t>
                      </w:r>
                    </w:p>
                  </w:txbxContent>
                </v:textbox>
              </v:shape>
            </w:pict>
          </mc:Fallback>
        </mc:AlternateContent>
      </w:r>
    </w:p>
    <w:p w:rsidR="005F698C" w:rsidRDefault="005F698C" w:rsidP="009C1167"/>
    <w:p w:rsidR="005F698C" w:rsidRDefault="00C44B56" w:rsidP="009C1167">
      <w:r>
        <w:rPr>
          <w:noProof/>
        </w:rPr>
        <mc:AlternateContent>
          <mc:Choice Requires="wps">
            <w:drawing>
              <wp:anchor distT="0" distB="0" distL="114300" distR="114300" simplePos="0" relativeHeight="251665408" behindDoc="0" locked="0" layoutInCell="1" allowOverlap="1" wp14:anchorId="71269929" wp14:editId="70CEA21E">
                <wp:simplePos x="0" y="0"/>
                <wp:positionH relativeFrom="column">
                  <wp:posOffset>-620395</wp:posOffset>
                </wp:positionH>
                <wp:positionV relativeFrom="paragraph">
                  <wp:posOffset>167005</wp:posOffset>
                </wp:positionV>
                <wp:extent cx="1752600" cy="371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752600" cy="371475"/>
                        </a:xfrm>
                        <a:prstGeom prst="rect">
                          <a:avLst/>
                        </a:prstGeom>
                        <a:solidFill>
                          <a:schemeClr val="lt1"/>
                        </a:solidFill>
                        <a:ln w="6350">
                          <a:noFill/>
                        </a:ln>
                      </wps:spPr>
                      <wps:txbx>
                        <w:txbxContent>
                          <w:p w:rsidR="005F698C" w:rsidRDefault="005F698C" w:rsidP="005F698C">
                            <w:pPr>
                              <w:jc w:val="center"/>
                            </w:pPr>
                            <w:r>
                              <w:t>Veronica Acevedo Avila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9929" id="Text Box 8" o:spid="_x0000_s1029" type="#_x0000_t202" style="position:absolute;margin-left:-48.85pt;margin-top:13.15pt;width:138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" fillcolor="white [3201]" stroked="f" strokeweight=".5pt">
                <v:textbox>
                  <w:txbxContent>
                    <w:p w:rsidR="005F698C" w:rsidRDefault="005F698C" w:rsidP="005F698C">
                      <w:pPr>
                        <w:jc w:val="center"/>
                      </w:pPr>
                      <w:r>
                        <w:t>Veronica Acevedo Avila</w:t>
                      </w:r>
                    </w:p>
                  </w:txbxContent>
                </v:textbox>
              </v:shape>
            </w:pict>
          </mc:Fallback>
        </mc:AlternateContent>
      </w:r>
    </w:p>
    <w:p w:rsidR="005F698C" w:rsidRDefault="005F698C" w:rsidP="009C1167"/>
    <w:p w:rsidR="005F698C" w:rsidRDefault="005F698C" w:rsidP="009C1167">
      <w:pPr>
        <w:pBdr>
          <w:bottom w:val="single" w:sz="12" w:space="1" w:color="auto"/>
        </w:pBdr>
      </w:pPr>
    </w:p>
    <w:p w:rsidR="00276402" w:rsidRDefault="00276402" w:rsidP="009C1167"/>
    <w:p w:rsidR="00D76B16" w:rsidRPr="00C44B56" w:rsidRDefault="005F698C" w:rsidP="009C1167">
      <w:pPr>
        <w:rPr>
          <w:b/>
          <w:i/>
          <w:sz w:val="28"/>
          <w:szCs w:val="28"/>
        </w:rPr>
      </w:pPr>
      <w:r w:rsidRPr="00C44B56">
        <w:rPr>
          <w:b/>
          <w:i/>
          <w:sz w:val="28"/>
          <w:szCs w:val="28"/>
        </w:rPr>
        <w:t xml:space="preserve">Student Learning Outcome </w:t>
      </w:r>
      <w:r w:rsidR="00D76B16" w:rsidRPr="00C44B56">
        <w:rPr>
          <w:b/>
          <w:i/>
          <w:sz w:val="28"/>
          <w:szCs w:val="28"/>
        </w:rPr>
        <w:t>Assessments have initiated improve</w:t>
      </w:r>
      <w:r w:rsidR="002F7A49">
        <w:rPr>
          <w:b/>
          <w:i/>
          <w:sz w:val="28"/>
          <w:szCs w:val="28"/>
        </w:rPr>
        <w:t>ment</w:t>
      </w:r>
      <w:r w:rsidR="00D76B16" w:rsidRPr="00C44B56">
        <w:rPr>
          <w:b/>
          <w:i/>
          <w:sz w:val="28"/>
          <w:szCs w:val="28"/>
        </w:rPr>
        <w:t>s to the curriculum, to departments, and to the institution.</w:t>
      </w:r>
    </w:p>
    <w:p w:rsidR="00D76B16" w:rsidRPr="00D93BB5" w:rsidRDefault="00D93BB5" w:rsidP="009C1167">
      <w:r>
        <w:rPr>
          <w:noProof/>
        </w:rPr>
        <w:drawing>
          <wp:anchor distT="0" distB="0" distL="114300" distR="114300" simplePos="0" relativeHeight="251658240" behindDoc="0" locked="0" layoutInCell="1" allowOverlap="1" wp14:anchorId="6AFD8D54">
            <wp:simplePos x="0" y="0"/>
            <wp:positionH relativeFrom="margin">
              <wp:posOffset>-474980</wp:posOffset>
            </wp:positionH>
            <wp:positionV relativeFrom="margin">
              <wp:posOffset>5221605</wp:posOffset>
            </wp:positionV>
            <wp:extent cx="1161288" cy="694944"/>
            <wp:effectExtent l="0" t="0" r="1270" b="0"/>
            <wp:wrapThrough wrapText="bothSides">
              <wp:wrapPolygon edited="0">
                <wp:start x="0" y="0"/>
                <wp:lineTo x="0" y="20731"/>
                <wp:lineTo x="21269" y="20731"/>
                <wp:lineTo x="21269" y="0"/>
                <wp:lineTo x="0" y="0"/>
              </wp:wrapPolygon>
            </wp:wrapThrough>
            <wp:docPr id="1" name="Picture 1" descr="http://clipartix.com/wp-content/uploads/2016/04/Megaphone-clip-art-clipart-clipart-clipart-clipartc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ix.com/wp-content/uploads/2016/04/Megaphone-clip-art-clipart-clipart-clipart-clipartc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1288" cy="6949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6B16" w:rsidRPr="00D93BB5" w:rsidRDefault="00D76B16" w:rsidP="009C1167">
      <w:r w:rsidRPr="00D93BB5">
        <w:t>Here are some examples we would like to share with you.</w:t>
      </w:r>
    </w:p>
    <w:p w:rsidR="00D76B16" w:rsidRDefault="00D76B16" w:rsidP="009C1167">
      <w:pPr>
        <w:rPr>
          <w:rFonts w:ascii="Calibri" w:hAnsi="Calibri" w:cs="Calibri"/>
        </w:rPr>
      </w:pPr>
    </w:p>
    <w:p w:rsidR="00C44B56" w:rsidRPr="00C44B56" w:rsidRDefault="00C44B56" w:rsidP="00C44B56">
      <w:r w:rsidRPr="00C44B56">
        <w:rPr>
          <w:b/>
        </w:rPr>
        <w:t>Institutional Learning Outcome:</w:t>
      </w:r>
      <w:r w:rsidRPr="00C44B56">
        <w:t xml:space="preserve"> The 2013 Convocation began the process of assessing our ICC then titled </w:t>
      </w:r>
      <w:r w:rsidRPr="00C44B56">
        <w:rPr>
          <w:color w:val="000000"/>
          <w:shd w:val="clear" w:color="auto" w:fill="FFFFFF"/>
        </w:rPr>
        <w:t>“Global, Cultural, Social and Environmental Awareness</w:t>
      </w:r>
      <w:r w:rsidR="007F6B1A">
        <w:rPr>
          <w:color w:val="000000"/>
          <w:shd w:val="clear" w:color="auto" w:fill="FFFFFF"/>
        </w:rPr>
        <w:t>”.</w:t>
      </w:r>
      <w:r w:rsidRPr="00C44B56">
        <w:t xml:space="preserve"> This assessment cycle directly led to a reframing of the ICC itself--an improvement to the institution which in turn shapes any curriculum that is tied to it. A narrative of the process may be found at </w:t>
      </w:r>
      <w:hyperlink r:id="rId10" w:history="1">
        <w:r w:rsidRPr="00C44B56">
          <w:rPr>
            <w:rStyle w:val="Hyperlink"/>
          </w:rPr>
          <w:t>Civic Capacity Assessment Cycle #1</w:t>
        </w:r>
      </w:hyperlink>
      <w:r w:rsidRPr="00C44B56">
        <w:t xml:space="preserve"> .</w:t>
      </w:r>
    </w:p>
    <w:p w:rsidR="00C44B56" w:rsidRDefault="00C44B56" w:rsidP="009C1167">
      <w:pPr>
        <w:rPr>
          <w:rFonts w:ascii="Calibri" w:hAnsi="Calibri" w:cs="Calibri"/>
        </w:rPr>
      </w:pPr>
    </w:p>
    <w:p w:rsidR="005F698C" w:rsidRPr="002C5933" w:rsidRDefault="00D93BB5" w:rsidP="009C1167">
      <w:pPr>
        <w:rPr>
          <w:color w:val="000000"/>
        </w:rPr>
      </w:pPr>
      <w:r w:rsidRPr="002C5933">
        <w:rPr>
          <w:b/>
        </w:rPr>
        <w:t xml:space="preserve">Student Services Learning Outcomes: </w:t>
      </w:r>
      <w:r w:rsidRPr="002C5933">
        <w:rPr>
          <w:b/>
          <w:color w:val="000000"/>
        </w:rPr>
        <w:t>Health Services</w:t>
      </w:r>
      <w:r w:rsidRPr="002C5933">
        <w:rPr>
          <w:color w:val="000000"/>
        </w:rPr>
        <w:t xml:space="preserve"> conducted assessments and enhancements for the years 2011-14 </w:t>
      </w:r>
      <w:r w:rsidR="00E36717">
        <w:rPr>
          <w:color w:val="000000"/>
        </w:rPr>
        <w:t>triggering</w:t>
      </w:r>
      <w:r w:rsidRPr="002C5933">
        <w:rPr>
          <w:color w:val="000000"/>
        </w:rPr>
        <w:t xml:space="preserve"> significant c</w:t>
      </w:r>
      <w:r w:rsidR="002C5933" w:rsidRPr="002C5933">
        <w:rPr>
          <w:color w:val="000000"/>
        </w:rPr>
        <w:t xml:space="preserve">hanges to the structure of the </w:t>
      </w:r>
      <w:hyperlink r:id="rId11" w:history="1">
        <w:r w:rsidR="002C5933" w:rsidRPr="002C5933">
          <w:rPr>
            <w:rStyle w:val="Hyperlink"/>
          </w:rPr>
          <w:t>Tobacco Cessation P</w:t>
        </w:r>
        <w:r w:rsidRPr="002C5933">
          <w:rPr>
            <w:rStyle w:val="Hyperlink"/>
          </w:rPr>
          <w:t>rogram</w:t>
        </w:r>
      </w:hyperlink>
      <w:r w:rsidRPr="002C5933">
        <w:rPr>
          <w:color w:val="000000"/>
        </w:rPr>
        <w:t>.</w:t>
      </w:r>
    </w:p>
    <w:p w:rsidR="002C5933" w:rsidRDefault="002C5933" w:rsidP="009C1167">
      <w:pPr>
        <w:rPr>
          <w:color w:val="000000"/>
        </w:rPr>
      </w:pPr>
    </w:p>
    <w:p w:rsidR="00C44B56" w:rsidRDefault="00C44B56" w:rsidP="00C44B56">
      <w:pPr>
        <w:rPr>
          <w:color w:val="000000"/>
        </w:rPr>
      </w:pPr>
      <w:r w:rsidRPr="001676DE">
        <w:rPr>
          <w:b/>
          <w:color w:val="000000"/>
        </w:rPr>
        <w:t xml:space="preserve">Student Learning Outcome PHIL07: Assessment </w:t>
      </w:r>
      <w:r w:rsidR="001676DE" w:rsidRPr="001676DE">
        <w:rPr>
          <w:b/>
          <w:color w:val="000000"/>
        </w:rPr>
        <w:t>D</w:t>
      </w:r>
      <w:r w:rsidR="00E36717">
        <w:rPr>
          <w:b/>
          <w:color w:val="000000"/>
        </w:rPr>
        <w:t>r</w:t>
      </w:r>
      <w:r w:rsidR="001676DE" w:rsidRPr="001676DE">
        <w:rPr>
          <w:b/>
          <w:color w:val="000000"/>
        </w:rPr>
        <w:t>iving C</w:t>
      </w:r>
      <w:r w:rsidRPr="001676DE">
        <w:rPr>
          <w:b/>
          <w:color w:val="000000"/>
        </w:rPr>
        <w:t xml:space="preserve">hange </w:t>
      </w:r>
      <w:r w:rsidR="001676DE" w:rsidRPr="001676DE">
        <w:rPr>
          <w:b/>
          <w:color w:val="000000"/>
        </w:rPr>
        <w:t>in C</w:t>
      </w:r>
      <w:r w:rsidRPr="001676DE">
        <w:rPr>
          <w:b/>
          <w:color w:val="000000"/>
        </w:rPr>
        <w:t>urriculum</w:t>
      </w:r>
      <w:r w:rsidR="001676DE" w:rsidRPr="001676DE">
        <w:rPr>
          <w:b/>
          <w:color w:val="000000"/>
        </w:rPr>
        <w:t>:</w:t>
      </w:r>
      <w:r w:rsidR="001676DE" w:rsidRPr="001676DE">
        <w:rPr>
          <w:color w:val="000000"/>
        </w:rPr>
        <w:t xml:space="preserve"> </w:t>
      </w:r>
      <w:hyperlink r:id="rId12" w:history="1">
        <w:r w:rsidR="001676DE" w:rsidRPr="001676DE">
          <w:rPr>
            <w:rStyle w:val="Hyperlink"/>
          </w:rPr>
          <w:t>The assessment summary of SLO 4</w:t>
        </w:r>
      </w:hyperlink>
      <w:r w:rsidR="001676DE" w:rsidRPr="001676DE">
        <w:rPr>
          <w:color w:val="000000"/>
        </w:rPr>
        <w:t xml:space="preserve"> is directly tied to changes that will be submitted this year for the Course Outline of Record.</w:t>
      </w:r>
    </w:p>
    <w:p w:rsidR="00E05BD9" w:rsidRDefault="00E05BD9" w:rsidP="00C44B56">
      <w:pPr>
        <w:rPr>
          <w:color w:val="000000"/>
        </w:rPr>
      </w:pPr>
    </w:p>
    <w:p w:rsidR="00E05BD9" w:rsidRPr="00492842" w:rsidRDefault="00664B38" w:rsidP="00C44B56">
      <w:pPr>
        <w:rPr>
          <w:color w:val="000000"/>
        </w:rPr>
      </w:pPr>
      <w:hyperlink r:id="rId13" w:history="1">
        <w:r w:rsidR="00E05BD9" w:rsidRPr="00492842">
          <w:rPr>
            <w:rStyle w:val="Hyperlink"/>
          </w:rPr>
          <w:t xml:space="preserve">AUO assessment for </w:t>
        </w:r>
        <w:r w:rsidR="007F6B1A" w:rsidRPr="00492842">
          <w:rPr>
            <w:rStyle w:val="Hyperlink"/>
            <w:shd w:val="clear" w:color="auto" w:fill="FFFFFF"/>
          </w:rPr>
          <w:t>Vasconcellos Institute for Democracy in Action – VIDA</w:t>
        </w:r>
      </w:hyperlink>
      <w:r w:rsidR="007F6B1A" w:rsidRPr="00492842">
        <w:rPr>
          <w:rStyle w:val="Strong"/>
          <w:color w:val="000000"/>
          <w:shd w:val="clear" w:color="auto" w:fill="FFFFFF"/>
        </w:rPr>
        <w:t xml:space="preserve"> </w:t>
      </w:r>
      <w:r w:rsidR="00E05BD9" w:rsidRPr="00492842">
        <w:rPr>
          <w:color w:val="000000"/>
        </w:rPr>
        <w:t>(formerly the Institute for Community and Civic Engagement</w:t>
      </w:r>
      <w:r w:rsidR="00E36717">
        <w:rPr>
          <w:color w:val="000000"/>
        </w:rPr>
        <w:t>)</w:t>
      </w:r>
      <w:r w:rsidR="00A30D2C" w:rsidRPr="00492842">
        <w:rPr>
          <w:color w:val="000000"/>
        </w:rPr>
        <w:t xml:space="preserve"> is conducted</w:t>
      </w:r>
      <w:r w:rsidR="00E36717">
        <w:rPr>
          <w:color w:val="000000"/>
        </w:rPr>
        <w:t xml:space="preserve"> every other year</w:t>
      </w:r>
      <w:r w:rsidR="00E05BD9" w:rsidRPr="00492842">
        <w:rPr>
          <w:color w:val="000000"/>
        </w:rPr>
        <w:t xml:space="preserve"> via a survey instrument that helps the center to identify opportunities to strengthen its</w:t>
      </w:r>
      <w:r w:rsidR="00A30D2C" w:rsidRPr="00492842">
        <w:rPr>
          <w:color w:val="000000"/>
        </w:rPr>
        <w:t xml:space="preserve"> presence in 'service courses'. </w:t>
      </w:r>
      <w:r w:rsidR="00E05BD9" w:rsidRPr="00492842">
        <w:rPr>
          <w:color w:val="000000"/>
        </w:rPr>
        <w:t xml:space="preserve">One outstanding example is found in the </w:t>
      </w:r>
      <w:r w:rsidR="00E36717">
        <w:rPr>
          <w:color w:val="000000"/>
        </w:rPr>
        <w:t xml:space="preserve">2016 Convocation </w:t>
      </w:r>
      <w:r w:rsidR="00E05BD9" w:rsidRPr="00492842">
        <w:rPr>
          <w:color w:val="000000"/>
        </w:rPr>
        <w:t xml:space="preserve">presentation </w:t>
      </w:r>
      <w:hyperlink r:id="rId14" w:history="1">
        <w:r w:rsidR="00A30D2C" w:rsidRPr="00492842">
          <w:rPr>
            <w:rStyle w:val="Hyperlink"/>
          </w:rPr>
          <w:t xml:space="preserve">“Healthy </w:t>
        </w:r>
        <w:r w:rsidR="00A30D2C" w:rsidRPr="00492842">
          <w:rPr>
            <w:rStyle w:val="Hyperlink"/>
          </w:rPr>
          <w:lastRenderedPageBreak/>
          <w:t>News habits”</w:t>
        </w:r>
      </w:hyperlink>
      <w:r w:rsidR="00A30D2C" w:rsidRPr="00492842">
        <w:rPr>
          <w:color w:val="000000"/>
        </w:rPr>
        <w:t xml:space="preserve"> </w:t>
      </w:r>
      <w:r w:rsidR="00E36717">
        <w:rPr>
          <w:color w:val="000000"/>
        </w:rPr>
        <w:t xml:space="preserve">by </w:t>
      </w:r>
      <w:r w:rsidR="00E05BD9" w:rsidRPr="00492842">
        <w:rPr>
          <w:color w:val="000000"/>
        </w:rPr>
        <w:t>Cynthia Kaufm</w:t>
      </w:r>
      <w:r w:rsidR="00A30D2C" w:rsidRPr="00492842">
        <w:rPr>
          <w:color w:val="000000"/>
        </w:rPr>
        <w:t>an illustrating</w:t>
      </w:r>
      <w:r w:rsidR="00E05BD9" w:rsidRPr="00492842">
        <w:rPr>
          <w:color w:val="000000"/>
        </w:rPr>
        <w:t xml:space="preserve"> how the survey reveals the 'new</w:t>
      </w:r>
      <w:r w:rsidR="00A30D2C" w:rsidRPr="00492842">
        <w:rPr>
          <w:color w:val="000000"/>
        </w:rPr>
        <w:t xml:space="preserve">s habits' of De Anza students. </w:t>
      </w:r>
      <w:r w:rsidR="00E05BD9" w:rsidRPr="00492842">
        <w:rPr>
          <w:color w:val="000000"/>
        </w:rPr>
        <w:t xml:space="preserve">This information </w:t>
      </w:r>
      <w:r w:rsidR="00E36717">
        <w:rPr>
          <w:color w:val="000000"/>
        </w:rPr>
        <w:t>initiated a</w:t>
      </w:r>
      <w:r w:rsidR="00E05BD9" w:rsidRPr="00492842">
        <w:rPr>
          <w:color w:val="000000"/>
        </w:rPr>
        <w:t xml:space="preserve"> vigorous dialogue </w:t>
      </w:r>
      <w:r w:rsidR="00E36717">
        <w:rPr>
          <w:color w:val="000000"/>
        </w:rPr>
        <w:t xml:space="preserve">concerning </w:t>
      </w:r>
      <w:r w:rsidR="00E05BD9" w:rsidRPr="00492842">
        <w:rPr>
          <w:color w:val="000000"/>
        </w:rPr>
        <w:t>how more conscientious news</w:t>
      </w:r>
      <w:r w:rsidR="00E36717">
        <w:rPr>
          <w:color w:val="000000"/>
        </w:rPr>
        <w:t xml:space="preserve"> habits can be fostered by the C</w:t>
      </w:r>
      <w:r w:rsidR="00E05BD9" w:rsidRPr="00492842">
        <w:rPr>
          <w:color w:val="000000"/>
        </w:rPr>
        <w:t>ollege.</w:t>
      </w:r>
    </w:p>
    <w:p w:rsidR="00E05BD9" w:rsidRPr="00492842" w:rsidRDefault="00E05BD9" w:rsidP="00C44B56">
      <w:pPr>
        <w:rPr>
          <w:rFonts w:ascii="Tahoma" w:hAnsi="Tahoma" w:cs="Tahoma"/>
          <w:color w:val="000000"/>
        </w:rPr>
      </w:pPr>
    </w:p>
    <w:p w:rsidR="00E05BD9" w:rsidRPr="00492842" w:rsidRDefault="00664B38" w:rsidP="00C44B56">
      <w:pPr>
        <w:rPr>
          <w:color w:val="000000"/>
        </w:rPr>
      </w:pPr>
      <w:hyperlink r:id="rId15" w:history="1">
        <w:r w:rsidR="00E05BD9" w:rsidRPr="00492842">
          <w:rPr>
            <w:rStyle w:val="Hyperlink"/>
          </w:rPr>
          <w:t>Program Level Outcome Assessment</w:t>
        </w:r>
      </w:hyperlink>
      <w:r w:rsidR="00E05BD9" w:rsidRPr="00492842">
        <w:rPr>
          <w:b/>
          <w:color w:val="000000"/>
        </w:rPr>
        <w:t xml:space="preserve"> precipitates departmental change</w:t>
      </w:r>
      <w:r w:rsidR="00B55C04">
        <w:rPr>
          <w:color w:val="000000"/>
        </w:rPr>
        <w:t>: This example</w:t>
      </w:r>
      <w:r w:rsidR="00E05BD9" w:rsidRPr="00492842">
        <w:rPr>
          <w:color w:val="000000"/>
        </w:rPr>
        <w:t xml:space="preserve"> shows how an assessment cycle directly led to the revival of "Women in Philosophy", a course that was on the brink of b</w:t>
      </w:r>
      <w:r w:rsidR="00492842">
        <w:rPr>
          <w:color w:val="000000"/>
        </w:rPr>
        <w:t xml:space="preserve">eing dropped from the catalog. </w:t>
      </w:r>
      <w:r w:rsidR="00E05BD9" w:rsidRPr="00492842">
        <w:rPr>
          <w:color w:val="000000"/>
        </w:rPr>
        <w:t xml:space="preserve">Philosophy faculty agreed to revise/reinstate the </w:t>
      </w:r>
      <w:r w:rsidR="00B55C04">
        <w:rPr>
          <w:color w:val="000000"/>
        </w:rPr>
        <w:t>course, and a</w:t>
      </w:r>
      <w:r w:rsidR="00E36717">
        <w:rPr>
          <w:color w:val="000000"/>
        </w:rPr>
        <w:t>s of F</w:t>
      </w:r>
      <w:r w:rsidR="00E05BD9" w:rsidRPr="00492842">
        <w:rPr>
          <w:color w:val="000000"/>
        </w:rPr>
        <w:t>all</w:t>
      </w:r>
      <w:r w:rsidR="00E36717">
        <w:rPr>
          <w:color w:val="000000"/>
        </w:rPr>
        <w:t xml:space="preserve"> 2017</w:t>
      </w:r>
      <w:r w:rsidR="00E05BD9" w:rsidRPr="00492842">
        <w:rPr>
          <w:color w:val="000000"/>
        </w:rPr>
        <w:t xml:space="preserve"> </w:t>
      </w:r>
      <w:r w:rsidR="00B55C04">
        <w:rPr>
          <w:color w:val="000000"/>
        </w:rPr>
        <w:t>it</w:t>
      </w:r>
      <w:r w:rsidR="00E36717">
        <w:rPr>
          <w:color w:val="000000"/>
        </w:rPr>
        <w:t xml:space="preserve"> has been </w:t>
      </w:r>
      <w:r w:rsidR="00B55C04">
        <w:rPr>
          <w:color w:val="000000"/>
        </w:rPr>
        <w:t xml:space="preserve">successfully </w:t>
      </w:r>
      <w:r w:rsidR="00E36717">
        <w:rPr>
          <w:color w:val="000000"/>
        </w:rPr>
        <w:t xml:space="preserve">offered for </w:t>
      </w:r>
      <w:r w:rsidR="00B55C04">
        <w:rPr>
          <w:color w:val="000000"/>
        </w:rPr>
        <w:t>a</w:t>
      </w:r>
      <w:r w:rsidR="00E05BD9" w:rsidRPr="00492842">
        <w:rPr>
          <w:color w:val="000000"/>
        </w:rPr>
        <w:t xml:space="preserve"> third consecutive year. The course is schedu</w:t>
      </w:r>
      <w:r w:rsidR="00492842">
        <w:rPr>
          <w:color w:val="000000"/>
        </w:rPr>
        <w:t>led for SLO assessment 2017-18</w:t>
      </w:r>
      <w:r w:rsidR="00E05BD9" w:rsidRPr="00492842">
        <w:rPr>
          <w:color w:val="000000"/>
        </w:rPr>
        <w:t>.</w:t>
      </w:r>
    </w:p>
    <w:p w:rsidR="00E05BD9" w:rsidRDefault="00E05BD9" w:rsidP="00C44B56">
      <w:pPr>
        <w:rPr>
          <w:rFonts w:ascii="Tahoma" w:hAnsi="Tahoma" w:cs="Tahoma"/>
          <w:color w:val="000000"/>
          <w:sz w:val="20"/>
          <w:szCs w:val="20"/>
        </w:rPr>
      </w:pPr>
    </w:p>
    <w:p w:rsidR="00B55C04" w:rsidRDefault="00B55C04" w:rsidP="00B55C04">
      <w:pPr>
        <w:rPr>
          <w:rFonts w:eastAsia="Times New Roman"/>
          <w:b/>
          <w:bCs/>
          <w:color w:val="000000"/>
        </w:rPr>
      </w:pPr>
      <w:r>
        <w:rPr>
          <w:rFonts w:eastAsia="Times New Roman"/>
          <w:b/>
          <w:bCs/>
          <w:color w:val="000000"/>
        </w:rPr>
        <w:t>Chemistry CHEM 25 Course: Assessment driv</w:t>
      </w:r>
      <w:r w:rsidR="003230E8">
        <w:rPr>
          <w:rFonts w:eastAsia="Times New Roman"/>
          <w:b/>
          <w:bCs/>
          <w:color w:val="000000"/>
        </w:rPr>
        <w:t>ing resource request/allocation:</w:t>
      </w:r>
      <w:r>
        <w:rPr>
          <w:rFonts w:eastAsia="Times New Roman"/>
          <w:b/>
          <w:bCs/>
          <w:color w:val="000000"/>
        </w:rPr>
        <w:t xml:space="preserve"> </w:t>
      </w:r>
    </w:p>
    <w:p w:rsidR="00B55C04" w:rsidRDefault="00B55C04" w:rsidP="00B55C04">
      <w:pPr>
        <w:rPr>
          <w:rFonts w:eastAsia="Times New Roman"/>
          <w:bCs/>
          <w:color w:val="000000"/>
        </w:rPr>
      </w:pPr>
      <w:r>
        <w:rPr>
          <w:rFonts w:eastAsia="Times New Roman"/>
          <w:bCs/>
          <w:color w:val="000000"/>
        </w:rPr>
        <w:t xml:space="preserve">The </w:t>
      </w:r>
      <w:hyperlink r:id="rId16" w:history="1">
        <w:r w:rsidRPr="00B55C04">
          <w:rPr>
            <w:rStyle w:val="Hyperlink"/>
            <w:rFonts w:eastAsia="Times New Roman"/>
            <w:bCs/>
          </w:rPr>
          <w:t>enhancement documented at the end of this example</w:t>
        </w:r>
      </w:hyperlink>
      <w:r>
        <w:rPr>
          <w:rFonts w:eastAsia="Times New Roman"/>
          <w:bCs/>
          <w:color w:val="000000"/>
        </w:rPr>
        <w:t xml:space="preserve"> shows how course-level assessment can easily shape the approach that a department takes toward the annual Program Review process, using data to call attention to resource needs.</w:t>
      </w:r>
    </w:p>
    <w:p w:rsidR="004D1E6A" w:rsidRPr="003230E8" w:rsidRDefault="004D1E6A" w:rsidP="00B55C04">
      <w:pPr>
        <w:rPr>
          <w:rFonts w:eastAsia="Times New Roman"/>
          <w:bCs/>
          <w:color w:val="000000"/>
        </w:rPr>
      </w:pPr>
    </w:p>
    <w:p w:rsidR="004D1E6A" w:rsidRPr="003230E8" w:rsidRDefault="003230E8" w:rsidP="00B55C04">
      <w:pPr>
        <w:rPr>
          <w:color w:val="000000"/>
        </w:rPr>
      </w:pPr>
      <w:r w:rsidRPr="003230E8">
        <w:rPr>
          <w:b/>
          <w:color w:val="000000"/>
        </w:rPr>
        <w:t>Computer Information Systems Program Level Outcome:</w:t>
      </w:r>
      <w:r w:rsidRPr="003230E8">
        <w:rPr>
          <w:color w:val="000000"/>
        </w:rPr>
        <w:t xml:space="preserve"> </w:t>
      </w:r>
      <w:hyperlink r:id="rId17" w:history="1">
        <w:r w:rsidRPr="003230E8">
          <w:rPr>
            <w:rStyle w:val="Hyperlink"/>
          </w:rPr>
          <w:t>Assessing the Program Level Outcome addressing programming language certificates and degrees</w:t>
        </w:r>
      </w:hyperlink>
      <w:r w:rsidRPr="003230E8">
        <w:rPr>
          <w:color w:val="000000"/>
        </w:rPr>
        <w:t xml:space="preserve">, it was noted that more support was needed for beginning students in the C++ course. For Winter 2018, </w:t>
      </w:r>
      <w:proofErr w:type="spellStart"/>
      <w:r w:rsidRPr="003230E8">
        <w:rPr>
          <w:color w:val="000000"/>
        </w:rPr>
        <w:t>LinC</w:t>
      </w:r>
      <w:proofErr w:type="spellEnd"/>
      <w:r w:rsidRPr="003230E8">
        <w:rPr>
          <w:color w:val="000000"/>
        </w:rPr>
        <w:t xml:space="preserve"> the course with EWRT 1A will offer students a sense of community as well as facilitating natural study groups.</w:t>
      </w:r>
    </w:p>
    <w:p w:rsidR="00B55C04" w:rsidRDefault="00B55C04" w:rsidP="00C44B56">
      <w:pPr>
        <w:rPr>
          <w:b/>
          <w:color w:val="000000"/>
        </w:rPr>
      </w:pPr>
    </w:p>
    <w:p w:rsidR="00E05BD9" w:rsidRPr="00EE0694" w:rsidRDefault="00CC10A9" w:rsidP="00C44B56">
      <w:pPr>
        <w:rPr>
          <w:color w:val="000000"/>
        </w:rPr>
      </w:pPr>
      <w:r w:rsidRPr="00EE0694">
        <w:rPr>
          <w:b/>
          <w:color w:val="000000"/>
        </w:rPr>
        <w:t>Psychological Services Learning Outcome:</w:t>
      </w:r>
      <w:r w:rsidRPr="00EE0694">
        <w:rPr>
          <w:color w:val="000000"/>
        </w:rPr>
        <w:t xml:space="preserve"> </w:t>
      </w:r>
      <w:r w:rsidR="00FA700D" w:rsidRPr="00EE0694">
        <w:rPr>
          <w:color w:val="000000"/>
        </w:rPr>
        <w:t xml:space="preserve">The </w:t>
      </w:r>
      <w:hyperlink r:id="rId18" w:history="1">
        <w:r w:rsidRPr="00EE0694">
          <w:rPr>
            <w:rStyle w:val="Hyperlink"/>
          </w:rPr>
          <w:t xml:space="preserve">assessment </w:t>
        </w:r>
        <w:r w:rsidR="00492842" w:rsidRPr="00EE0694">
          <w:rPr>
            <w:rStyle w:val="Hyperlink"/>
          </w:rPr>
          <w:t>for the Psychological Services</w:t>
        </w:r>
      </w:hyperlink>
      <w:r w:rsidR="00492842" w:rsidRPr="00EE0694">
        <w:rPr>
          <w:color w:val="000000"/>
        </w:rPr>
        <w:t xml:space="preserve"> student services level outcome was</w:t>
      </w:r>
      <w:r w:rsidRPr="00EE0694">
        <w:rPr>
          <w:color w:val="000000"/>
        </w:rPr>
        <w:t xml:space="preserve"> conducted in 2014-15.  This is a </w:t>
      </w:r>
      <w:r w:rsidRPr="00EE0694">
        <w:rPr>
          <w:i/>
          <w:iCs/>
          <w:color w:val="000000"/>
        </w:rPr>
        <w:t>desperately</w:t>
      </w:r>
      <w:r w:rsidRPr="00EE0694">
        <w:rPr>
          <w:color w:val="000000"/>
        </w:rPr>
        <w:t xml:space="preserve"> needed service for our campus community, and has been fervently advocated from a variety of shared governance groups such as our Harm Reduction Team, the Student Disciplinary Hearing Board, </w:t>
      </w:r>
      <w:r w:rsidR="00492842" w:rsidRPr="00EE0694">
        <w:rPr>
          <w:color w:val="000000"/>
        </w:rPr>
        <w:t>and Veterans Services. As evidenced in the assessment report,</w:t>
      </w:r>
      <w:r w:rsidRPr="00EE0694">
        <w:rPr>
          <w:color w:val="000000"/>
        </w:rPr>
        <w:t xml:space="preserve"> this service unit is taking assessment seriously, and developing an instrument that will eventually be used to systematically evaluate the services it provides. </w:t>
      </w:r>
      <w:r w:rsidR="00E36717">
        <w:rPr>
          <w:color w:val="000000"/>
        </w:rPr>
        <w:t>Thus,</w:t>
      </w:r>
      <w:r w:rsidR="0072279D" w:rsidRPr="00EE0694">
        <w:rPr>
          <w:color w:val="000000"/>
        </w:rPr>
        <w:t xml:space="preserve"> the 2014-15 </w:t>
      </w:r>
      <w:r w:rsidRPr="00EE0694">
        <w:rPr>
          <w:color w:val="000000"/>
        </w:rPr>
        <w:t xml:space="preserve">assessment effectively lead to enhancement to the assessment </w:t>
      </w:r>
      <w:r w:rsidRPr="00EE0694">
        <w:rPr>
          <w:i/>
          <w:iCs/>
          <w:color w:val="000000"/>
        </w:rPr>
        <w:t>method</w:t>
      </w:r>
      <w:r w:rsidRPr="00EE0694">
        <w:rPr>
          <w:color w:val="000000"/>
        </w:rPr>
        <w:t>.</w:t>
      </w:r>
    </w:p>
    <w:p w:rsidR="00E05BD9" w:rsidRDefault="00E05BD9" w:rsidP="00C44B56">
      <w:pPr>
        <w:rPr>
          <w:rFonts w:ascii="Tahoma" w:hAnsi="Tahoma" w:cs="Tahoma"/>
          <w:color w:val="000000"/>
          <w:sz w:val="20"/>
          <w:szCs w:val="20"/>
        </w:rPr>
      </w:pPr>
    </w:p>
    <w:p w:rsidR="00FA700D" w:rsidRPr="00E36717" w:rsidRDefault="00664B38" w:rsidP="00C44B56">
      <w:pPr>
        <w:rPr>
          <w:color w:val="000000"/>
        </w:rPr>
      </w:pPr>
      <w:hyperlink r:id="rId19" w:history="1">
        <w:r w:rsidR="00EE0694" w:rsidRPr="00E36717">
          <w:rPr>
            <w:rStyle w:val="Hyperlink"/>
          </w:rPr>
          <w:t>SLO Assessments for Massage Therapy:</w:t>
        </w:r>
      </w:hyperlink>
      <w:r w:rsidR="00EE0694" w:rsidRPr="00E36717">
        <w:rPr>
          <w:color w:val="000000"/>
        </w:rPr>
        <w:t xml:space="preserve"> Method of assessment chosen was a focus group of students. </w:t>
      </w:r>
      <w:r w:rsidR="001269F9" w:rsidRPr="00E36717">
        <w:rPr>
          <w:color w:val="000000"/>
        </w:rPr>
        <w:t xml:space="preserve">The assessment led to improvements to the learning experience of the students as outlined in the </w:t>
      </w:r>
      <w:hyperlink r:id="rId20" w:history="1">
        <w:r w:rsidR="001269F9" w:rsidRPr="00664B38">
          <w:rPr>
            <w:rStyle w:val="Hyperlink"/>
          </w:rPr>
          <w:t>department minutes</w:t>
        </w:r>
      </w:hyperlink>
      <w:bookmarkStart w:id="0" w:name="_GoBack"/>
      <w:bookmarkEnd w:id="0"/>
      <w:r w:rsidR="001269F9" w:rsidRPr="00E36717">
        <w:rPr>
          <w:color w:val="000000"/>
        </w:rPr>
        <w:t>.</w:t>
      </w:r>
    </w:p>
    <w:p w:rsidR="001269F9" w:rsidRPr="00E36717" w:rsidRDefault="001269F9" w:rsidP="00C44B56">
      <w:pPr>
        <w:rPr>
          <w:color w:val="000000"/>
        </w:rPr>
      </w:pPr>
    </w:p>
    <w:p w:rsidR="00E05BD9" w:rsidRDefault="0097218C" w:rsidP="00C44B56">
      <w:pPr>
        <w:rPr>
          <w:rFonts w:eastAsia="Times New Roman"/>
          <w:bCs/>
          <w:color w:val="000000"/>
        </w:rPr>
      </w:pPr>
      <w:r w:rsidRPr="0072279D">
        <w:rPr>
          <w:rFonts w:eastAsia="Times New Roman"/>
          <w:b/>
          <w:bCs/>
          <w:color w:val="000000"/>
        </w:rPr>
        <w:t xml:space="preserve">Learning Outcomes Assessment Cycle Award: </w:t>
      </w:r>
      <w:r w:rsidR="00B55C04">
        <w:rPr>
          <w:rFonts w:eastAsia="Times New Roman"/>
          <w:bCs/>
          <w:color w:val="000000"/>
        </w:rPr>
        <w:t>The College offers an a</w:t>
      </w:r>
      <w:r w:rsidR="00E36717">
        <w:rPr>
          <w:rFonts w:eastAsia="Times New Roman"/>
          <w:bCs/>
          <w:color w:val="000000"/>
        </w:rPr>
        <w:t>nnual grant of $500 to</w:t>
      </w:r>
      <w:r w:rsidRPr="0072279D">
        <w:rPr>
          <w:rFonts w:eastAsia="Times New Roman"/>
          <w:bCs/>
          <w:color w:val="000000"/>
        </w:rPr>
        <w:t xml:space="preserve"> support</w:t>
      </w:r>
      <w:r w:rsidR="00B55C04">
        <w:rPr>
          <w:rFonts w:eastAsia="Times New Roman"/>
          <w:bCs/>
          <w:color w:val="000000"/>
        </w:rPr>
        <w:t xml:space="preserve"> the</w:t>
      </w:r>
      <w:r w:rsidRPr="0072279D">
        <w:rPr>
          <w:rFonts w:eastAsia="Times New Roman"/>
          <w:bCs/>
          <w:color w:val="000000"/>
        </w:rPr>
        <w:t xml:space="preserve"> </w:t>
      </w:r>
      <w:r w:rsidR="00732DF2" w:rsidRPr="0072279D">
        <w:rPr>
          <w:rFonts w:eastAsia="Times New Roman"/>
          <w:bCs/>
          <w:color w:val="000000"/>
        </w:rPr>
        <w:t xml:space="preserve">implementation of </w:t>
      </w:r>
      <w:r w:rsidR="00B55C04">
        <w:rPr>
          <w:rFonts w:eastAsia="Times New Roman"/>
          <w:bCs/>
          <w:color w:val="000000"/>
        </w:rPr>
        <w:t xml:space="preserve">an </w:t>
      </w:r>
      <w:r w:rsidR="00732DF2" w:rsidRPr="0072279D">
        <w:rPr>
          <w:rFonts w:eastAsia="Times New Roman"/>
          <w:bCs/>
          <w:color w:val="000000"/>
        </w:rPr>
        <w:t xml:space="preserve">enhancement resulting from </w:t>
      </w:r>
      <w:r w:rsidR="00B55C04">
        <w:rPr>
          <w:rFonts w:eastAsia="Times New Roman"/>
          <w:bCs/>
          <w:color w:val="000000"/>
        </w:rPr>
        <w:t>a course- or program-level assessment</w:t>
      </w:r>
      <w:r w:rsidR="00732DF2" w:rsidRPr="0072279D">
        <w:rPr>
          <w:rFonts w:eastAsia="Times New Roman"/>
          <w:bCs/>
          <w:color w:val="000000"/>
        </w:rPr>
        <w:t xml:space="preserve">. For 2016-17 the </w:t>
      </w:r>
      <w:r w:rsidR="00AF1A8A" w:rsidRPr="0072279D">
        <w:rPr>
          <w:rFonts w:eastAsia="Times New Roman"/>
          <w:bCs/>
          <w:color w:val="000000"/>
        </w:rPr>
        <w:t xml:space="preserve">award was to business instructor Byron Lily. He presented his report </w:t>
      </w:r>
      <w:hyperlink r:id="rId21" w:history="1">
        <w:r w:rsidR="00AF1A8A" w:rsidRPr="0072279D">
          <w:rPr>
            <w:rStyle w:val="Hyperlink"/>
            <w:rFonts w:eastAsia="Times New Roman"/>
          </w:rPr>
          <w:t>“What I Won My $500 LOAC Award For”</w:t>
        </w:r>
      </w:hyperlink>
      <w:r w:rsidR="00AF1A8A" w:rsidRPr="0072279D">
        <w:rPr>
          <w:rFonts w:eastAsia="Times New Roman"/>
          <w:bCs/>
          <w:color w:val="000000"/>
        </w:rPr>
        <w:t xml:space="preserve"> to faculty and staff at the 2017 Convocation and,</w:t>
      </w:r>
      <w:r w:rsidR="0072279D">
        <w:rPr>
          <w:rFonts w:eastAsia="Times New Roman"/>
          <w:bCs/>
          <w:color w:val="000000"/>
        </w:rPr>
        <w:t xml:space="preserve"> by popular demand, to </w:t>
      </w:r>
      <w:r w:rsidR="00B55C04">
        <w:rPr>
          <w:rFonts w:eastAsia="Times New Roman"/>
          <w:bCs/>
          <w:color w:val="000000"/>
        </w:rPr>
        <w:t xml:space="preserve">the </w:t>
      </w:r>
      <w:r w:rsidR="0072279D">
        <w:rPr>
          <w:rFonts w:eastAsia="Times New Roman"/>
          <w:bCs/>
          <w:color w:val="000000"/>
        </w:rPr>
        <w:t xml:space="preserve">Business, </w:t>
      </w:r>
      <w:r w:rsidR="00AF1A8A" w:rsidRPr="0072279D">
        <w:rPr>
          <w:rFonts w:eastAsia="Times New Roman"/>
          <w:bCs/>
          <w:color w:val="000000"/>
        </w:rPr>
        <w:t>C</w:t>
      </w:r>
      <w:r w:rsidR="0072279D">
        <w:rPr>
          <w:rFonts w:eastAsia="Times New Roman"/>
          <w:bCs/>
          <w:color w:val="000000"/>
        </w:rPr>
        <w:t xml:space="preserve">omputer Science, &amp; </w:t>
      </w:r>
      <w:r w:rsidR="00AF1A8A" w:rsidRPr="0072279D">
        <w:rPr>
          <w:rFonts w:eastAsia="Times New Roman"/>
          <w:bCs/>
          <w:color w:val="000000"/>
        </w:rPr>
        <w:t>Applied</w:t>
      </w:r>
      <w:r w:rsidR="0072279D">
        <w:rPr>
          <w:rFonts w:eastAsia="Times New Roman"/>
          <w:bCs/>
          <w:color w:val="000000"/>
        </w:rPr>
        <w:t xml:space="preserve"> </w:t>
      </w:r>
      <w:r w:rsidR="00AF1A8A" w:rsidRPr="0072279D">
        <w:rPr>
          <w:rFonts w:eastAsia="Times New Roman"/>
          <w:bCs/>
          <w:color w:val="000000"/>
        </w:rPr>
        <w:t xml:space="preserve">Technologies division. For 2017-18 </w:t>
      </w:r>
      <w:r w:rsidR="0072279D" w:rsidRPr="0072279D">
        <w:rPr>
          <w:rFonts w:eastAsia="Times New Roman"/>
          <w:bCs/>
          <w:color w:val="000000"/>
        </w:rPr>
        <w:t xml:space="preserve">the award was to Communications Studies to support their efforts </w:t>
      </w:r>
      <w:r w:rsidR="0072279D" w:rsidRPr="0072279D">
        <w:rPr>
          <w:rFonts w:eastAsia="Times New Roman"/>
          <w:color w:val="000000"/>
        </w:rPr>
        <w:t xml:space="preserve">in </w:t>
      </w:r>
      <w:hyperlink r:id="rId22" w:history="1">
        <w:r w:rsidR="0072279D" w:rsidRPr="0072279D">
          <w:rPr>
            <w:rStyle w:val="Hyperlink"/>
            <w:rFonts w:eastAsia="Times New Roman"/>
          </w:rPr>
          <w:t>Information Literacy Assessment</w:t>
        </w:r>
      </w:hyperlink>
      <w:r w:rsidR="0072279D" w:rsidRPr="0072279D">
        <w:rPr>
          <w:rFonts w:eastAsia="Times New Roman"/>
          <w:bCs/>
          <w:color w:val="000000"/>
        </w:rPr>
        <w:t xml:space="preserve">. </w:t>
      </w:r>
    </w:p>
    <w:p w:rsidR="001A5C13" w:rsidRDefault="001A5C13" w:rsidP="00C44B56">
      <w:pPr>
        <w:rPr>
          <w:rFonts w:ascii="Tahoma" w:hAnsi="Tahoma" w:cs="Tahoma"/>
          <w:color w:val="000000"/>
          <w:sz w:val="20"/>
          <w:szCs w:val="20"/>
        </w:rPr>
      </w:pPr>
    </w:p>
    <w:p w:rsidR="001A5C13" w:rsidRDefault="001A5C13" w:rsidP="00C44B56">
      <w:pPr>
        <w:rPr>
          <w:rFonts w:ascii="Tahoma" w:hAnsi="Tahoma" w:cs="Tahoma"/>
          <w:color w:val="000000"/>
          <w:sz w:val="20"/>
          <w:szCs w:val="20"/>
        </w:rPr>
      </w:pPr>
      <w:r>
        <w:rPr>
          <w:b/>
          <w:bCs/>
          <w:color w:val="000000"/>
        </w:rPr>
        <w:t>Hum</w:t>
      </w:r>
      <w:r w:rsidR="001269F9">
        <w:rPr>
          <w:b/>
          <w:bCs/>
          <w:color w:val="000000"/>
        </w:rPr>
        <w:t>anities</w:t>
      </w:r>
      <w:r w:rsidR="00B55C04">
        <w:rPr>
          <w:b/>
          <w:bCs/>
          <w:color w:val="000000"/>
        </w:rPr>
        <w:t xml:space="preserve"> Department</w:t>
      </w:r>
      <w:r w:rsidR="001269F9">
        <w:rPr>
          <w:b/>
          <w:bCs/>
          <w:color w:val="000000"/>
        </w:rPr>
        <w:t xml:space="preserve">: </w:t>
      </w:r>
      <w:hyperlink r:id="rId23" w:history="1">
        <w:r w:rsidR="002F7A49" w:rsidRPr="002F7A49">
          <w:rPr>
            <w:rStyle w:val="Hyperlink"/>
          </w:rPr>
          <w:t>Assessment of HUMI</w:t>
        </w:r>
        <w:r w:rsidRPr="002F7A49">
          <w:rPr>
            <w:rStyle w:val="Hyperlink"/>
          </w:rPr>
          <w:t xml:space="preserve"> 16</w:t>
        </w:r>
      </w:hyperlink>
      <w:r>
        <w:rPr>
          <w:b/>
          <w:bCs/>
          <w:color w:val="000000"/>
        </w:rPr>
        <w:t xml:space="preserve"> </w:t>
      </w:r>
      <w:r w:rsidR="00B55C04">
        <w:rPr>
          <w:bCs/>
          <w:color w:val="000000"/>
        </w:rPr>
        <w:t>This examples illustrates</w:t>
      </w:r>
      <w:r w:rsidR="00492842" w:rsidRPr="00492842">
        <w:rPr>
          <w:bCs/>
          <w:color w:val="000000"/>
        </w:rPr>
        <w:t xml:space="preserve"> </w:t>
      </w:r>
      <w:r w:rsidR="00B55C04">
        <w:rPr>
          <w:bCs/>
          <w:color w:val="000000"/>
        </w:rPr>
        <w:t xml:space="preserve">the impact that the </w:t>
      </w:r>
      <w:r w:rsidR="00492842" w:rsidRPr="00492842">
        <w:rPr>
          <w:bCs/>
          <w:color w:val="000000"/>
        </w:rPr>
        <w:t>SLO/PLO process</w:t>
      </w:r>
      <w:r w:rsidR="00B55C04">
        <w:rPr>
          <w:bCs/>
          <w:color w:val="000000"/>
        </w:rPr>
        <w:t xml:space="preserve"> regularly</w:t>
      </w:r>
      <w:r w:rsidR="00492842" w:rsidRPr="00492842">
        <w:rPr>
          <w:bCs/>
          <w:color w:val="000000"/>
        </w:rPr>
        <w:t xml:space="preserve"> has </w:t>
      </w:r>
      <w:r w:rsidR="002F7A49">
        <w:rPr>
          <w:bCs/>
          <w:color w:val="000000"/>
        </w:rPr>
        <w:t>on</w:t>
      </w:r>
      <w:r w:rsidR="00492842" w:rsidRPr="00492842">
        <w:rPr>
          <w:bCs/>
          <w:color w:val="000000"/>
        </w:rPr>
        <w:t xml:space="preserve"> classroom teaching, helping </w:t>
      </w:r>
      <w:r w:rsidR="002F7A49">
        <w:rPr>
          <w:bCs/>
          <w:color w:val="000000"/>
        </w:rPr>
        <w:t xml:space="preserve">faculty of the Humanities department </w:t>
      </w:r>
      <w:r w:rsidR="00E36717">
        <w:rPr>
          <w:bCs/>
          <w:color w:val="000000"/>
        </w:rPr>
        <w:t>see where they</w:t>
      </w:r>
      <w:r w:rsidR="00492842" w:rsidRPr="00492842">
        <w:rPr>
          <w:bCs/>
          <w:color w:val="000000"/>
        </w:rPr>
        <w:t xml:space="preserve"> are most or least effective. </w:t>
      </w:r>
      <w:r w:rsidR="002F7A49">
        <w:rPr>
          <w:bCs/>
          <w:color w:val="000000"/>
        </w:rPr>
        <w:t xml:space="preserve">The assessments </w:t>
      </w:r>
      <w:r w:rsidR="00B55C04">
        <w:rPr>
          <w:bCs/>
          <w:color w:val="000000"/>
        </w:rPr>
        <w:t xml:space="preserve">documented here </w:t>
      </w:r>
      <w:r w:rsidR="002F7A49">
        <w:rPr>
          <w:bCs/>
          <w:color w:val="000000"/>
        </w:rPr>
        <w:t>led to changes that</w:t>
      </w:r>
      <w:r w:rsidR="00492842" w:rsidRPr="00492842">
        <w:rPr>
          <w:bCs/>
          <w:color w:val="000000"/>
        </w:rPr>
        <w:t xml:space="preserve"> are not so much changes in curriculum as changes in emphasis, awareness, and engagement.</w:t>
      </w:r>
    </w:p>
    <w:p w:rsidR="00E05BD9" w:rsidRDefault="00E05BD9" w:rsidP="00C44B56">
      <w:pPr>
        <w:pBdr>
          <w:bottom w:val="single" w:sz="12" w:space="1" w:color="auto"/>
        </w:pBdr>
        <w:rPr>
          <w:color w:val="000000"/>
        </w:rPr>
      </w:pPr>
    </w:p>
    <w:p w:rsidR="00276402" w:rsidRDefault="00276402" w:rsidP="00C44B56">
      <w:pPr>
        <w:rPr>
          <w:color w:val="000000"/>
        </w:rPr>
      </w:pPr>
    </w:p>
    <w:p w:rsidR="00276402" w:rsidRDefault="00276402" w:rsidP="00C44B56">
      <w:pPr>
        <w:rPr>
          <w:color w:val="000000"/>
        </w:rPr>
      </w:pPr>
    </w:p>
    <w:p w:rsidR="00276402" w:rsidRDefault="00276402" w:rsidP="00C44B56">
      <w:pPr>
        <w:rPr>
          <w:color w:val="000000"/>
        </w:rPr>
        <w:sectPr w:rsidR="00276402">
          <w:pgSz w:w="12240" w:h="15840"/>
          <w:pgMar w:top="1440" w:right="1440" w:bottom="1440" w:left="1440" w:header="720" w:footer="720" w:gutter="0"/>
          <w:cols w:space="720"/>
          <w:docGrid w:linePitch="360"/>
        </w:sectPr>
      </w:pPr>
    </w:p>
    <w:p w:rsidR="00276402" w:rsidRPr="00A40B9E" w:rsidRDefault="00276402" w:rsidP="00276402">
      <w:pPr>
        <w:rPr>
          <w:rFonts w:eastAsia="Times New Roman"/>
          <w:color w:val="000000"/>
        </w:rPr>
      </w:pPr>
      <w:r>
        <w:rPr>
          <w:rFonts w:eastAsia="Times New Roman"/>
          <w:color w:val="000000"/>
        </w:rPr>
        <w:t xml:space="preserve">The </w:t>
      </w:r>
      <w:r w:rsidRPr="00A40B9E">
        <w:rPr>
          <w:rFonts w:eastAsia="Times New Roman"/>
          <w:color w:val="000000"/>
        </w:rPr>
        <w:t xml:space="preserve">SLO/SSLO/AUO process is comprehensively supported by </w:t>
      </w:r>
      <w:r>
        <w:rPr>
          <w:rFonts w:eastAsia="Times New Roman"/>
          <w:color w:val="000000"/>
        </w:rPr>
        <w:t xml:space="preserve">the college </w:t>
      </w:r>
      <w:r w:rsidRPr="00A40B9E">
        <w:rPr>
          <w:rFonts w:eastAsia="Times New Roman"/>
          <w:color w:val="000000"/>
        </w:rPr>
        <w:t xml:space="preserve">administration. </w:t>
      </w:r>
      <w:r>
        <w:rPr>
          <w:rFonts w:eastAsia="Times New Roman"/>
          <w:color w:val="000000"/>
        </w:rPr>
        <w:t xml:space="preserve">The </w:t>
      </w:r>
      <w:r w:rsidRPr="00A40B9E">
        <w:rPr>
          <w:rFonts w:eastAsia="Times New Roman"/>
          <w:color w:val="000000"/>
        </w:rPr>
        <w:t>SLO process at the course and program levels is 100% faculty designed and implemented.</w:t>
      </w:r>
    </w:p>
    <w:p w:rsidR="00276402" w:rsidRPr="00A40B9E" w:rsidRDefault="00276402" w:rsidP="00276402">
      <w:pPr>
        <w:rPr>
          <w:rFonts w:eastAsia="Times New Roman"/>
          <w:color w:val="000000"/>
        </w:rPr>
      </w:pPr>
    </w:p>
    <w:p w:rsidR="001676DE" w:rsidRPr="00276402" w:rsidRDefault="00276402" w:rsidP="00C44B56">
      <w:pPr>
        <w:rPr>
          <w:rFonts w:eastAsia="Times New Roman"/>
          <w:color w:val="000000"/>
        </w:rPr>
      </w:pPr>
      <w:r>
        <w:rPr>
          <w:rFonts w:eastAsia="Times New Roman"/>
          <w:color w:val="000000"/>
        </w:rPr>
        <w:t>T</w:t>
      </w:r>
      <w:r w:rsidRPr="00A40B9E">
        <w:rPr>
          <w:rFonts w:eastAsia="Times New Roman"/>
          <w:color w:val="000000"/>
        </w:rPr>
        <w:t xml:space="preserve">he reflection and enhancement </w:t>
      </w:r>
      <w:r>
        <w:rPr>
          <w:rFonts w:eastAsia="Times New Roman"/>
          <w:color w:val="000000"/>
        </w:rPr>
        <w:t>documented alongside outcome assessments serves as evidence of</w:t>
      </w:r>
      <w:r w:rsidRPr="00A40B9E">
        <w:rPr>
          <w:rFonts w:eastAsia="Times New Roman"/>
          <w:color w:val="000000"/>
        </w:rPr>
        <w:t xml:space="preserve"> internal department dialog</w:t>
      </w:r>
      <w:r>
        <w:rPr>
          <w:rFonts w:eastAsia="Times New Roman"/>
          <w:color w:val="000000"/>
        </w:rPr>
        <w:t>ue.   This dialogue ultimately</w:t>
      </w:r>
      <w:r w:rsidRPr="00A40B9E">
        <w:rPr>
          <w:rFonts w:eastAsia="Times New Roman"/>
          <w:color w:val="000000"/>
        </w:rPr>
        <w:t xml:space="preserve"> precipitate</w:t>
      </w:r>
      <w:r>
        <w:rPr>
          <w:rFonts w:eastAsia="Times New Roman"/>
          <w:color w:val="000000"/>
        </w:rPr>
        <w:t>s</w:t>
      </w:r>
      <w:r w:rsidRPr="00A40B9E">
        <w:rPr>
          <w:rFonts w:eastAsia="Times New Roman"/>
          <w:color w:val="000000"/>
        </w:rPr>
        <w:t xml:space="preserve"> change</w:t>
      </w:r>
      <w:r>
        <w:rPr>
          <w:rFonts w:eastAsia="Times New Roman"/>
          <w:color w:val="000000"/>
        </w:rPr>
        <w:t>s to broader campus processes,</w:t>
      </w:r>
      <w:r w:rsidRPr="00A40B9E">
        <w:rPr>
          <w:rFonts w:eastAsia="Times New Roman"/>
          <w:color w:val="000000"/>
        </w:rPr>
        <w:t xml:space="preserve"> such as what has occurred with Program Review and its relationship to resource allocation. </w:t>
      </w:r>
      <w:r>
        <w:rPr>
          <w:rFonts w:eastAsia="Times New Roman"/>
          <w:color w:val="000000"/>
        </w:rPr>
        <w:t xml:space="preserve"> The dialogue-to-change connection is increasingly found across</w:t>
      </w:r>
      <w:r w:rsidRPr="00A40B9E">
        <w:rPr>
          <w:rFonts w:eastAsia="Times New Roman"/>
          <w:color w:val="000000"/>
        </w:rPr>
        <w:t xml:space="preserve"> instruction</w:t>
      </w:r>
      <w:r>
        <w:rPr>
          <w:rFonts w:eastAsia="Times New Roman"/>
          <w:color w:val="000000"/>
        </w:rPr>
        <w:t>al, student service</w:t>
      </w:r>
      <w:r w:rsidRPr="00A40B9E">
        <w:rPr>
          <w:rFonts w:eastAsia="Times New Roman"/>
          <w:color w:val="000000"/>
        </w:rPr>
        <w:t>, and administrative areas.</w:t>
      </w:r>
      <w:r w:rsidR="00E05BD9">
        <w:rPr>
          <w:noProof/>
          <w:color w:val="000000"/>
        </w:rPr>
        <mc:AlternateContent>
          <mc:Choice Requires="wps">
            <w:drawing>
              <wp:anchor distT="0" distB="0" distL="114300" distR="114300" simplePos="0" relativeHeight="251670528" behindDoc="0" locked="0" layoutInCell="1" allowOverlap="1" wp14:anchorId="18FA05EB" wp14:editId="4AC1BD6C">
                <wp:simplePos x="0" y="0"/>
                <wp:positionH relativeFrom="column">
                  <wp:posOffset>-200025</wp:posOffset>
                </wp:positionH>
                <wp:positionV relativeFrom="paragraph">
                  <wp:posOffset>-219710</wp:posOffset>
                </wp:positionV>
                <wp:extent cx="905256" cy="1106424"/>
                <wp:effectExtent l="0" t="76200" r="0" b="74930"/>
                <wp:wrapThrough wrapText="bothSides">
                  <wp:wrapPolygon edited="0">
                    <wp:start x="18509" y="-689"/>
                    <wp:lineTo x="2182" y="-1913"/>
                    <wp:lineTo x="1250" y="3239"/>
                    <wp:lineTo x="1369" y="15286"/>
                    <wp:lineTo x="-1295" y="19852"/>
                    <wp:lineTo x="-662" y="21433"/>
                    <wp:lineTo x="3836" y="21978"/>
                    <wp:lineTo x="4286" y="22032"/>
                    <wp:lineTo x="7052" y="21991"/>
                    <wp:lineTo x="18764" y="20776"/>
                    <wp:lineTo x="19563" y="16361"/>
                    <wp:lineTo x="20143" y="5526"/>
                    <wp:lineTo x="21908" y="851"/>
                    <wp:lineTo x="22558" y="-199"/>
                    <wp:lineTo x="21658" y="-307"/>
                    <wp:lineTo x="18509" y="-689"/>
                  </wp:wrapPolygon>
                </wp:wrapThrough>
                <wp:docPr id="11" name="Scroll: Vertical 11"/>
                <wp:cNvGraphicFramePr/>
                <a:graphic xmlns:a="http://schemas.openxmlformats.org/drawingml/2006/main">
                  <a:graphicData uri="http://schemas.microsoft.com/office/word/2010/wordprocessingShape">
                    <wps:wsp>
                      <wps:cNvSpPr/>
                      <wps:spPr>
                        <a:xfrm rot="21094983">
                          <a:off x="0" y="0"/>
                          <a:ext cx="905256" cy="1106424"/>
                        </a:xfrm>
                        <a:prstGeom prst="verticalScroll">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F763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11" o:spid="_x0000_s1026" type="#_x0000_t97" style="position:absolute;margin-left:-15.75pt;margin-top:-17.3pt;width:71.3pt;height:87.1pt;rotation:-55161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" filled="f" strokecolor="black [3213]" strokeweight="2.25pt">
                <v:stroke joinstyle="miter"/>
                <w10:wrap type="through"/>
              </v:shape>
            </w:pict>
          </mc:Fallback>
        </mc:AlternateContent>
      </w:r>
    </w:p>
    <w:p w:rsidR="001676DE" w:rsidRPr="001676DE" w:rsidRDefault="00B55C04" w:rsidP="001676DE">
      <w:pPr>
        <w:widowControl w:val="0"/>
        <w:spacing w:before="100" w:beforeAutospacing="1" w:after="100" w:afterAutospacing="1"/>
        <w:rPr>
          <w:rFonts w:eastAsia="Times New Roman"/>
          <w:b/>
          <w:i/>
          <w:color w:val="000000"/>
          <w:sz w:val="28"/>
          <w:szCs w:val="28"/>
        </w:rPr>
      </w:pPr>
      <w:r>
        <w:rPr>
          <w:rFonts w:eastAsia="Times New Roman"/>
          <w:b/>
          <w:i/>
          <w:color w:val="000000"/>
          <w:sz w:val="28"/>
          <w:szCs w:val="28"/>
        </w:rPr>
        <w:t>Course</w:t>
      </w:r>
      <w:r w:rsidR="001676DE" w:rsidRPr="001676DE">
        <w:rPr>
          <w:rFonts w:eastAsia="Times New Roman"/>
          <w:b/>
          <w:i/>
          <w:color w:val="000000"/>
          <w:sz w:val="28"/>
          <w:szCs w:val="28"/>
        </w:rPr>
        <w:t xml:space="preserve"> SLOs are listed for a</w:t>
      </w:r>
      <w:r>
        <w:rPr>
          <w:rFonts w:eastAsia="Times New Roman"/>
          <w:b/>
          <w:i/>
          <w:color w:val="000000"/>
          <w:sz w:val="28"/>
          <w:szCs w:val="28"/>
        </w:rPr>
        <w:t xml:space="preserve">ll departments in all Divisions </w:t>
      </w:r>
      <w:hyperlink r:id="rId24" w:anchor="CLO" w:history="1">
        <w:r>
          <w:rPr>
            <w:rFonts w:eastAsia="Times New Roman"/>
            <w:b/>
            <w:bCs/>
            <w:i/>
            <w:iCs/>
            <w:color w:val="0000FF"/>
            <w:sz w:val="28"/>
            <w:szCs w:val="28"/>
            <w:u w:val="single"/>
          </w:rPr>
          <w:t>here</w:t>
        </w:r>
      </w:hyperlink>
    </w:p>
    <w:p w:rsidR="001676DE" w:rsidRPr="000756BB" w:rsidRDefault="00B55C04" w:rsidP="001676DE">
      <w:pPr>
        <w:widowControl w:val="0"/>
        <w:spacing w:before="100" w:beforeAutospacing="1" w:after="100" w:afterAutospacing="1"/>
        <w:rPr>
          <w:rFonts w:eastAsia="Times New Roman"/>
          <w:color w:val="000000"/>
          <w:sz w:val="20"/>
          <w:szCs w:val="20"/>
        </w:rPr>
      </w:pPr>
      <w:r>
        <w:t xml:space="preserve">Faculty typically turn to this page to identify </w:t>
      </w:r>
      <w:r w:rsidR="001676DE">
        <w:t>the outcomes to include on the</w:t>
      </w:r>
      <w:r>
        <w:t>ir syllabi</w:t>
      </w:r>
      <w:r w:rsidR="001676DE">
        <w:t>.</w:t>
      </w:r>
      <w:r w:rsidR="001676DE" w:rsidRPr="001676DE">
        <w:rPr>
          <w:rFonts w:eastAsia="Times New Roman"/>
          <w:b/>
          <w:bCs/>
          <w:i/>
          <w:iCs/>
          <w:color w:val="000000"/>
        </w:rPr>
        <w:t xml:space="preserve"> </w:t>
      </w:r>
      <w:r w:rsidR="001676DE" w:rsidRPr="000756BB">
        <w:rPr>
          <w:rFonts w:eastAsia="Times New Roman"/>
          <w:b/>
          <w:bCs/>
          <w:i/>
          <w:iCs/>
          <w:color w:val="000000"/>
        </w:rPr>
        <w:t xml:space="preserve">These may be different from </w:t>
      </w:r>
      <w:r w:rsidR="00276402">
        <w:rPr>
          <w:rFonts w:eastAsia="Times New Roman"/>
          <w:b/>
          <w:bCs/>
          <w:i/>
          <w:iCs/>
          <w:color w:val="000000"/>
        </w:rPr>
        <w:t>the outcomes included in the Course Outlines of R</w:t>
      </w:r>
      <w:r w:rsidR="001676DE" w:rsidRPr="000756BB">
        <w:rPr>
          <w:rFonts w:eastAsia="Times New Roman"/>
          <w:b/>
          <w:bCs/>
          <w:i/>
          <w:iCs/>
          <w:color w:val="000000"/>
        </w:rPr>
        <w:t xml:space="preserve">ecord for pedagogical and practical reasons. We encourage faculty to update outcome statements when assessment work indicates that such updates will drive better pedagogy. These updates will not necessarily be in sync with the five-year review process. To mandate immediate change in </w:t>
      </w:r>
      <w:r w:rsidR="00276402">
        <w:rPr>
          <w:rFonts w:eastAsia="Times New Roman"/>
          <w:b/>
          <w:bCs/>
          <w:i/>
          <w:iCs/>
          <w:color w:val="000000"/>
        </w:rPr>
        <w:t>the Course Outline of R</w:t>
      </w:r>
      <w:r w:rsidR="001676DE" w:rsidRPr="000756BB">
        <w:rPr>
          <w:rFonts w:eastAsia="Times New Roman"/>
          <w:b/>
          <w:bCs/>
          <w:i/>
          <w:iCs/>
          <w:color w:val="000000"/>
        </w:rPr>
        <w:t xml:space="preserve">ecord would overburden </w:t>
      </w:r>
      <w:r w:rsidR="00276402">
        <w:rPr>
          <w:rFonts w:eastAsia="Times New Roman"/>
          <w:b/>
          <w:bCs/>
          <w:i/>
          <w:iCs/>
          <w:color w:val="000000"/>
        </w:rPr>
        <w:t xml:space="preserve">the </w:t>
      </w:r>
      <w:r w:rsidR="001676DE" w:rsidRPr="000756BB">
        <w:rPr>
          <w:rFonts w:eastAsia="Times New Roman"/>
          <w:b/>
          <w:bCs/>
          <w:i/>
          <w:iCs/>
          <w:color w:val="000000"/>
        </w:rPr>
        <w:t>curriculum committee and articulation office.</w:t>
      </w:r>
    </w:p>
    <w:p w:rsidR="00E05BD9" w:rsidRPr="001759FB" w:rsidRDefault="00E05BD9" w:rsidP="001759FB">
      <w:pPr>
        <w:pStyle w:val="ListParagraph"/>
        <w:numPr>
          <w:ilvl w:val="0"/>
          <w:numId w:val="1"/>
        </w:numPr>
        <w:rPr>
          <w:rFonts w:ascii="Tahoma" w:eastAsia="Times New Roman" w:hAnsi="Tahoma" w:cs="Tahoma"/>
          <w:color w:val="000000"/>
          <w:sz w:val="20"/>
          <w:szCs w:val="20"/>
        </w:rPr>
      </w:pPr>
      <w:r w:rsidRPr="001759FB">
        <w:rPr>
          <w:rFonts w:eastAsia="Times New Roman"/>
          <w:color w:val="000000"/>
        </w:rPr>
        <w:t xml:space="preserve">Some individual departments have chosen to have instructors upload </w:t>
      </w:r>
      <w:r w:rsidR="00CC10A9" w:rsidRPr="001759FB">
        <w:rPr>
          <w:rFonts w:eastAsia="Times New Roman"/>
          <w:color w:val="000000"/>
        </w:rPr>
        <w:t xml:space="preserve">syllabi to an </w:t>
      </w:r>
      <w:r w:rsidRPr="001759FB">
        <w:rPr>
          <w:rFonts w:eastAsia="Times New Roman"/>
          <w:color w:val="000000"/>
        </w:rPr>
        <w:t>online</w:t>
      </w:r>
      <w:r w:rsidR="00CC10A9" w:rsidRPr="001759FB">
        <w:rPr>
          <w:rFonts w:eastAsia="Times New Roman"/>
          <w:color w:val="000000"/>
        </w:rPr>
        <w:t xml:space="preserve"> site</w:t>
      </w:r>
      <w:r w:rsidRPr="001759FB">
        <w:rPr>
          <w:rFonts w:eastAsia="Times New Roman"/>
          <w:color w:val="000000"/>
        </w:rPr>
        <w:t>. For example:</w:t>
      </w:r>
      <w:r w:rsidR="00CC10A9" w:rsidRPr="001759FB">
        <w:rPr>
          <w:rFonts w:eastAsia="Times New Roman"/>
          <w:color w:val="000000"/>
        </w:rPr>
        <w:t xml:space="preserve"> </w:t>
      </w:r>
      <w:hyperlink r:id="rId25" w:history="1">
        <w:r w:rsidR="00CC10A9" w:rsidRPr="001759FB">
          <w:rPr>
            <w:rStyle w:val="Hyperlink"/>
            <w:rFonts w:eastAsia="Times New Roman"/>
          </w:rPr>
          <w:t>http://www.deanza.edu/buscs/greensheets/gsarchive.html</w:t>
        </w:r>
      </w:hyperlink>
      <w:r w:rsidR="00CC10A9" w:rsidRPr="001759FB">
        <w:rPr>
          <w:rFonts w:eastAsia="Times New Roman"/>
          <w:color w:val="000000"/>
        </w:rPr>
        <w:t xml:space="preserve"> </w:t>
      </w:r>
    </w:p>
    <w:p w:rsidR="00E05BD9" w:rsidRPr="001759FB" w:rsidRDefault="00E05BD9" w:rsidP="001759FB">
      <w:pPr>
        <w:pStyle w:val="ListParagraph"/>
        <w:numPr>
          <w:ilvl w:val="0"/>
          <w:numId w:val="1"/>
        </w:numPr>
        <w:rPr>
          <w:rFonts w:ascii="Tahoma" w:eastAsia="Times New Roman" w:hAnsi="Tahoma" w:cs="Tahoma"/>
          <w:color w:val="000000"/>
          <w:sz w:val="20"/>
          <w:szCs w:val="20"/>
        </w:rPr>
      </w:pPr>
      <w:r w:rsidRPr="001759FB">
        <w:rPr>
          <w:rFonts w:eastAsia="Times New Roman"/>
          <w:color w:val="000000"/>
        </w:rPr>
        <w:t xml:space="preserve">Other departments </w:t>
      </w:r>
      <w:r w:rsidR="00276402">
        <w:rPr>
          <w:rFonts w:eastAsia="Times New Roman"/>
          <w:color w:val="000000"/>
        </w:rPr>
        <w:t>host</w:t>
      </w:r>
      <w:r w:rsidRPr="001759FB">
        <w:rPr>
          <w:rFonts w:eastAsia="Times New Roman"/>
          <w:color w:val="000000"/>
        </w:rPr>
        <w:t xml:space="preserve"> copies in the division office.</w:t>
      </w:r>
    </w:p>
    <w:p w:rsidR="00E05BD9" w:rsidRPr="001759FB" w:rsidRDefault="00E05BD9" w:rsidP="001759FB">
      <w:pPr>
        <w:pStyle w:val="ListParagraph"/>
        <w:numPr>
          <w:ilvl w:val="0"/>
          <w:numId w:val="1"/>
        </w:numPr>
        <w:rPr>
          <w:rFonts w:ascii="Tahoma" w:eastAsia="Times New Roman" w:hAnsi="Tahoma" w:cs="Tahoma"/>
          <w:color w:val="000000"/>
          <w:sz w:val="20"/>
          <w:szCs w:val="20"/>
        </w:rPr>
      </w:pPr>
      <w:r w:rsidRPr="001759FB">
        <w:rPr>
          <w:rFonts w:eastAsia="Times New Roman"/>
          <w:color w:val="000000"/>
        </w:rPr>
        <w:t>Online education has faculty upload syllab</w:t>
      </w:r>
      <w:r w:rsidR="00CC10A9" w:rsidRPr="001759FB">
        <w:rPr>
          <w:rFonts w:eastAsia="Times New Roman"/>
          <w:color w:val="000000"/>
        </w:rPr>
        <w:t xml:space="preserve">i well before start of quarter: </w:t>
      </w:r>
      <w:hyperlink r:id="rId26" w:tgtFrame="_blank" w:history="1">
        <w:r w:rsidRPr="001759FB">
          <w:rPr>
            <w:rFonts w:eastAsia="Times New Roman"/>
            <w:color w:val="0000FF"/>
            <w:u w:val="single"/>
          </w:rPr>
          <w:t>http://syl.deanza.edu/</w:t>
        </w:r>
      </w:hyperlink>
    </w:p>
    <w:p w:rsidR="00E05BD9" w:rsidRPr="001759FB" w:rsidRDefault="00E05BD9" w:rsidP="001759FB">
      <w:pPr>
        <w:pStyle w:val="ListParagraph"/>
        <w:numPr>
          <w:ilvl w:val="0"/>
          <w:numId w:val="1"/>
        </w:numPr>
        <w:rPr>
          <w:rFonts w:ascii="Tahoma" w:eastAsia="Times New Roman" w:hAnsi="Tahoma" w:cs="Tahoma"/>
          <w:color w:val="000000"/>
          <w:sz w:val="20"/>
          <w:szCs w:val="20"/>
        </w:rPr>
      </w:pPr>
      <w:r w:rsidRPr="001759FB">
        <w:rPr>
          <w:rFonts w:eastAsia="Times New Roman"/>
          <w:color w:val="000000"/>
        </w:rPr>
        <w:t>Beginning with release of new we</w:t>
      </w:r>
      <w:r w:rsidR="00CC10A9" w:rsidRPr="001759FB">
        <w:rPr>
          <w:rFonts w:eastAsia="Times New Roman"/>
          <w:color w:val="000000"/>
        </w:rPr>
        <w:t xml:space="preserve">bsite design, the tool found at </w:t>
      </w:r>
      <w:hyperlink r:id="rId27" w:tgtFrame="_blank" w:history="1">
        <w:r w:rsidR="00CC10A9" w:rsidRPr="001759FB">
          <w:rPr>
            <w:rFonts w:eastAsia="Times New Roman"/>
            <w:color w:val="0000FF"/>
            <w:u w:val="single"/>
          </w:rPr>
          <w:t>http://syl.deanza.edu/</w:t>
        </w:r>
      </w:hyperlink>
      <w:r w:rsidR="00CC10A9" w:rsidRPr="001759FB">
        <w:rPr>
          <w:rFonts w:eastAsia="Times New Roman"/>
          <w:color w:val="000000"/>
        </w:rPr>
        <w:t xml:space="preserve"> </w:t>
      </w:r>
      <w:r w:rsidRPr="001759FB">
        <w:rPr>
          <w:rFonts w:eastAsia="Times New Roman"/>
          <w:color w:val="000000"/>
        </w:rPr>
        <w:t>will be used for all classes.</w:t>
      </w:r>
    </w:p>
    <w:p w:rsidR="00E05BD9" w:rsidRPr="000756BB" w:rsidRDefault="00E05BD9" w:rsidP="00E05BD9">
      <w:pPr>
        <w:rPr>
          <w:rFonts w:ascii="Tahoma" w:eastAsia="Times New Roman" w:hAnsi="Tahoma" w:cs="Tahoma"/>
          <w:color w:val="000000"/>
          <w:sz w:val="20"/>
          <w:szCs w:val="20"/>
        </w:rPr>
      </w:pPr>
    </w:p>
    <w:p w:rsidR="00E05BD9" w:rsidRPr="000756BB" w:rsidRDefault="00E05BD9" w:rsidP="00E05BD9">
      <w:pPr>
        <w:rPr>
          <w:rFonts w:ascii="Tahoma" w:eastAsia="Times New Roman" w:hAnsi="Tahoma" w:cs="Tahoma"/>
          <w:color w:val="000000"/>
          <w:sz w:val="20"/>
          <w:szCs w:val="20"/>
        </w:rPr>
      </w:pPr>
      <w:r w:rsidRPr="000756BB">
        <w:rPr>
          <w:rFonts w:eastAsia="Times New Roman"/>
          <w:color w:val="000000"/>
        </w:rPr>
        <w:t xml:space="preserve">It is the responsibility of the Division to make sure syllabi are uploaded. </w:t>
      </w:r>
      <w:r w:rsidR="00276402">
        <w:rPr>
          <w:rFonts w:eastAsia="Times New Roman"/>
          <w:color w:val="000000"/>
        </w:rPr>
        <w:t xml:space="preserve">The </w:t>
      </w:r>
      <w:r w:rsidRPr="000756BB">
        <w:rPr>
          <w:rFonts w:eastAsia="Times New Roman"/>
          <w:color w:val="000000"/>
        </w:rPr>
        <w:t>SLO team random</w:t>
      </w:r>
      <w:r w:rsidR="00276402">
        <w:rPr>
          <w:rFonts w:eastAsia="Times New Roman"/>
          <w:color w:val="000000"/>
        </w:rPr>
        <w:t>ly</w:t>
      </w:r>
      <w:r w:rsidRPr="000756BB">
        <w:rPr>
          <w:rFonts w:eastAsia="Times New Roman"/>
          <w:color w:val="000000"/>
        </w:rPr>
        <w:t xml:space="preserve"> samples those available online to verify compliance with listing SLOs. </w:t>
      </w:r>
    </w:p>
    <w:p w:rsidR="00E05BD9" w:rsidRDefault="00E05BD9" w:rsidP="00E05BD9">
      <w:pPr>
        <w:pBdr>
          <w:bottom w:val="single" w:sz="12" w:space="1" w:color="auto"/>
        </w:pBdr>
        <w:rPr>
          <w:rFonts w:ascii="Tahoma" w:eastAsia="Times New Roman" w:hAnsi="Tahoma" w:cs="Tahoma"/>
          <w:color w:val="000000"/>
          <w:sz w:val="20"/>
          <w:szCs w:val="20"/>
        </w:rPr>
      </w:pPr>
    </w:p>
    <w:p w:rsidR="00276402" w:rsidRPr="000756BB" w:rsidRDefault="00276402" w:rsidP="00E05BD9">
      <w:pPr>
        <w:rPr>
          <w:rFonts w:ascii="Tahoma" w:eastAsia="Times New Roman" w:hAnsi="Tahoma" w:cs="Tahoma"/>
          <w:color w:val="000000"/>
          <w:sz w:val="20"/>
          <w:szCs w:val="20"/>
        </w:rPr>
      </w:pPr>
    </w:p>
    <w:p w:rsidR="001676DE" w:rsidRDefault="001676DE" w:rsidP="00C44B56">
      <w:pPr>
        <w:rPr>
          <w:color w:val="000000"/>
        </w:rPr>
      </w:pPr>
    </w:p>
    <w:p w:rsidR="003060B5" w:rsidRDefault="003060B5" w:rsidP="00C44B56">
      <w:pPr>
        <w:rPr>
          <w:b/>
          <w:i/>
          <w:color w:val="000000"/>
          <w:sz w:val="28"/>
          <w:szCs w:val="28"/>
        </w:rPr>
      </w:pPr>
      <w:r w:rsidRPr="003060B5">
        <w:rPr>
          <w:b/>
          <w:i/>
          <w:color w:val="000000"/>
          <w:sz w:val="28"/>
          <w:szCs w:val="28"/>
        </w:rPr>
        <w:t xml:space="preserve">Our progress in disaggregating data to assist the Institution in Closing the Gap </w:t>
      </w:r>
    </w:p>
    <w:p w:rsidR="00276402" w:rsidRPr="003060B5" w:rsidRDefault="00276402" w:rsidP="00C44B56">
      <w:pPr>
        <w:rPr>
          <w:b/>
          <w:i/>
          <w:color w:val="000000"/>
          <w:sz w:val="28"/>
          <w:szCs w:val="28"/>
        </w:rPr>
      </w:pPr>
    </w:p>
    <w:p w:rsidR="00276402" w:rsidRDefault="00276402" w:rsidP="00276402">
      <w:r>
        <w:t>A</w:t>
      </w:r>
      <w:r w:rsidR="00CC10A9">
        <w:t xml:space="preserve"> report on the disaggregation of data collected on the Institutional Core Competencies (ICCs) may be found at: </w:t>
      </w:r>
      <w:hyperlink r:id="rId28" w:history="1">
        <w:r w:rsidR="00CC10A9" w:rsidRPr="00BF0A59">
          <w:rPr>
            <w:rStyle w:val="Hyperlink"/>
          </w:rPr>
          <w:t>http://deanza.edu/accreditation/2017/pdf/StudentAccreditationICCs_2016.pdf</w:t>
        </w:r>
      </w:hyperlink>
      <w:r w:rsidR="00CC10A9">
        <w:t xml:space="preserve"> </w:t>
      </w:r>
      <w:r>
        <w:t xml:space="preserve">  </w:t>
      </w:r>
    </w:p>
    <w:p w:rsidR="00276402" w:rsidRDefault="00276402" w:rsidP="00276402"/>
    <w:p w:rsidR="00276402" w:rsidRPr="00A40B9E" w:rsidRDefault="00276402" w:rsidP="00276402">
      <w:pPr>
        <w:rPr>
          <w:color w:val="000000"/>
        </w:rPr>
      </w:pPr>
      <w:r>
        <w:rPr>
          <w:color w:val="000000"/>
        </w:rPr>
        <w:t>Further d</w:t>
      </w:r>
      <w:r w:rsidRPr="00A40B9E">
        <w:rPr>
          <w:color w:val="000000"/>
        </w:rPr>
        <w:t xml:space="preserve">isaggregated data concerning Institutional Core Competencies may be found at: </w:t>
      </w:r>
      <w:hyperlink r:id="rId29" w:history="1">
        <w:r w:rsidRPr="00A40B9E">
          <w:rPr>
            <w:rStyle w:val="Hyperlink"/>
          </w:rPr>
          <w:t>http://deanza.edu/ir/deanza-research-projects/2013-14/Disaggregated%20ICCs.pdf</w:t>
        </w:r>
      </w:hyperlink>
      <w:r w:rsidRPr="00A40B9E">
        <w:rPr>
          <w:color w:val="000000"/>
        </w:rPr>
        <w:t xml:space="preserve"> </w:t>
      </w:r>
    </w:p>
    <w:p w:rsidR="00CC10A9" w:rsidRPr="00A40B9E" w:rsidRDefault="00CC10A9" w:rsidP="00CC10A9">
      <w:pPr>
        <w:rPr>
          <w:color w:val="000000"/>
        </w:rPr>
      </w:pPr>
    </w:p>
    <w:p w:rsidR="00CC10A9" w:rsidRPr="00A40B9E" w:rsidRDefault="003060B5" w:rsidP="00CC10A9">
      <w:pPr>
        <w:rPr>
          <w:color w:val="000000"/>
        </w:rPr>
      </w:pPr>
      <w:r w:rsidRPr="00A40B9E">
        <w:rPr>
          <w:color w:val="000000"/>
        </w:rPr>
        <w:lastRenderedPageBreak/>
        <w:t xml:space="preserve">The disaggregation of data regarding </w:t>
      </w:r>
      <w:r w:rsidR="00276402">
        <w:rPr>
          <w:color w:val="000000"/>
        </w:rPr>
        <w:t xml:space="preserve">the college </w:t>
      </w:r>
      <w:r w:rsidRPr="00A40B9E">
        <w:rPr>
          <w:color w:val="000000"/>
        </w:rPr>
        <w:t xml:space="preserve">survey of student engagement may be found at </w:t>
      </w:r>
      <w:hyperlink r:id="rId30" w:history="1">
        <w:r w:rsidRPr="00A40B9E">
          <w:rPr>
            <w:rStyle w:val="Hyperlink"/>
          </w:rPr>
          <w:t>http://deanza.edu/ir/deanza-research-projects/2012_13/Institutional%20Core%20Competencies.pdf</w:t>
        </w:r>
      </w:hyperlink>
      <w:r w:rsidRPr="00A40B9E">
        <w:rPr>
          <w:color w:val="000000"/>
        </w:rPr>
        <w:t xml:space="preserve"> </w:t>
      </w:r>
    </w:p>
    <w:p w:rsidR="006D6546" w:rsidRPr="00A40B9E" w:rsidRDefault="006D6546" w:rsidP="003060B5">
      <w:pPr>
        <w:rPr>
          <w:rFonts w:eastAsia="Times New Roman"/>
          <w:color w:val="000000"/>
        </w:rPr>
      </w:pPr>
    </w:p>
    <w:p w:rsidR="001E6C86" w:rsidRPr="00A40B9E" w:rsidRDefault="001E6C86" w:rsidP="003060B5">
      <w:pPr>
        <w:rPr>
          <w:rFonts w:eastAsia="Times New Roman"/>
          <w:color w:val="000000"/>
        </w:rPr>
      </w:pPr>
      <w:r w:rsidRPr="00A40B9E">
        <w:rPr>
          <w:rFonts w:eastAsia="Times New Roman"/>
          <w:color w:val="000000"/>
        </w:rPr>
        <w:t xml:space="preserve">Faculty </w:t>
      </w:r>
      <w:r w:rsidR="00276402">
        <w:rPr>
          <w:rFonts w:eastAsia="Times New Roman"/>
          <w:color w:val="000000"/>
        </w:rPr>
        <w:t xml:space="preserve">members </w:t>
      </w:r>
      <w:r w:rsidRPr="00A40B9E">
        <w:rPr>
          <w:rFonts w:eastAsia="Times New Roman"/>
          <w:color w:val="000000"/>
        </w:rPr>
        <w:t xml:space="preserve">now have </w:t>
      </w:r>
      <w:r w:rsidR="00276402">
        <w:rPr>
          <w:rFonts w:eastAsia="Times New Roman"/>
          <w:color w:val="000000"/>
        </w:rPr>
        <w:t>access to</w:t>
      </w:r>
      <w:r w:rsidRPr="00A40B9E">
        <w:rPr>
          <w:rFonts w:eastAsia="Times New Roman"/>
          <w:color w:val="000000"/>
        </w:rPr>
        <w:t xml:space="preserve"> a data tool which provides disaggregation by College, division, department, or course. An addition to this tool now allows an individual faculty member to disaggregate their student success data for their own students and for their own eyes. It is done by “Managing Cohorts”.</w:t>
      </w:r>
    </w:p>
    <w:p w:rsidR="001E6C86" w:rsidRDefault="001E6C86" w:rsidP="003060B5">
      <w:pPr>
        <w:rPr>
          <w:rFonts w:ascii="Tahoma" w:eastAsia="Times New Roman" w:hAnsi="Tahoma" w:cs="Tahoma"/>
          <w:color w:val="000000"/>
          <w:sz w:val="20"/>
          <w:szCs w:val="20"/>
        </w:rPr>
      </w:pPr>
    </w:p>
    <w:p w:rsidR="001E6C86" w:rsidRDefault="001E6C86" w:rsidP="003060B5">
      <w:pPr>
        <w:rPr>
          <w:rFonts w:ascii="Tahoma" w:eastAsia="Times New Roman" w:hAnsi="Tahoma" w:cs="Tahoma"/>
          <w:color w:val="000000"/>
          <w:sz w:val="20"/>
          <w:szCs w:val="20"/>
        </w:rPr>
      </w:pPr>
      <w:r>
        <w:rPr>
          <w:noProof/>
        </w:rPr>
        <mc:AlternateContent>
          <mc:Choice Requires="wps">
            <w:drawing>
              <wp:anchor distT="0" distB="0" distL="114300" distR="114300" simplePos="0" relativeHeight="251671552" behindDoc="0" locked="0" layoutInCell="1" allowOverlap="1">
                <wp:simplePos x="0" y="0"/>
                <wp:positionH relativeFrom="column">
                  <wp:posOffset>4105275</wp:posOffset>
                </wp:positionH>
                <wp:positionV relativeFrom="paragraph">
                  <wp:posOffset>476885</wp:posOffset>
                </wp:positionV>
                <wp:extent cx="1638300" cy="1769745"/>
                <wp:effectExtent l="0" t="0" r="19050" b="20955"/>
                <wp:wrapNone/>
                <wp:docPr id="13" name="Oval 13"/>
                <wp:cNvGraphicFramePr/>
                <a:graphic xmlns:a="http://schemas.openxmlformats.org/drawingml/2006/main">
                  <a:graphicData uri="http://schemas.microsoft.com/office/word/2010/wordprocessingShape">
                    <wps:wsp>
                      <wps:cNvSpPr/>
                      <wps:spPr>
                        <a:xfrm>
                          <a:off x="0" y="0"/>
                          <a:ext cx="1638300" cy="17697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1F81B7" id="Oval 13" o:spid="_x0000_s1026" style="position:absolute;margin-left:323.25pt;margin-top:37.55pt;width:129pt;height:139.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" filled="f" strokecolor="red" strokeweight="1pt">
                <v:stroke joinstyle="miter"/>
              </v:oval>
            </w:pict>
          </mc:Fallback>
        </mc:AlternateContent>
      </w:r>
      <w:r>
        <w:rPr>
          <w:noProof/>
        </w:rPr>
        <w:drawing>
          <wp:inline distT="0" distB="0" distL="0" distR="0" wp14:anchorId="7E4FA70F" wp14:editId="50C8D452">
            <wp:extent cx="5943600" cy="2246058"/>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BEBA8EAE-BF5A-486C-A8C5-ECC9F3942E4B}">
                          <a14:imgProps xmlns:a14="http://schemas.microsoft.com/office/drawing/2010/main">
                            <a14:imgLayer r:embed="rId32">
                              <a14:imgEffect>
                                <a14:sharpenSoften amount="50000"/>
                              </a14:imgEffect>
                              <a14:imgEffect>
                                <a14:saturation sat="400000"/>
                              </a14:imgEffect>
                            </a14:imgLayer>
                          </a14:imgProps>
                        </a:ext>
                      </a:extLst>
                    </a:blip>
                    <a:srcRect l="16506" t="21765" r="21154" b="34407"/>
                    <a:stretch/>
                  </pic:blipFill>
                  <pic:spPr bwMode="auto">
                    <a:xfrm>
                      <a:off x="0" y="0"/>
                      <a:ext cx="5943600" cy="2246058"/>
                    </a:xfrm>
                    <a:prstGeom prst="rect">
                      <a:avLst/>
                    </a:prstGeom>
                    <a:ln>
                      <a:noFill/>
                    </a:ln>
                    <a:extLst>
                      <a:ext uri="{53640926-AAD7-44D8-BBD7-CCE9431645EC}">
                        <a14:shadowObscured xmlns:a14="http://schemas.microsoft.com/office/drawing/2010/main"/>
                      </a:ext>
                    </a:extLst>
                  </pic:spPr>
                </pic:pic>
              </a:graphicData>
            </a:graphic>
          </wp:inline>
        </w:drawing>
      </w:r>
    </w:p>
    <w:p w:rsidR="001E6C86" w:rsidRPr="000756BB" w:rsidRDefault="001E6C86" w:rsidP="003060B5">
      <w:pPr>
        <w:rPr>
          <w:rFonts w:ascii="Tahoma" w:eastAsia="Times New Roman" w:hAnsi="Tahoma" w:cs="Tahoma"/>
          <w:color w:val="000000"/>
          <w:sz w:val="20"/>
          <w:szCs w:val="20"/>
        </w:rPr>
      </w:pPr>
    </w:p>
    <w:p w:rsidR="006D6546" w:rsidRDefault="006D6546" w:rsidP="003060B5">
      <w:pPr>
        <w:rPr>
          <w:rFonts w:eastAsia="Times New Roman"/>
          <w:color w:val="000000"/>
        </w:rPr>
      </w:pPr>
      <w:r w:rsidRPr="00A40B9E">
        <w:rPr>
          <w:rFonts w:eastAsia="Times New Roman"/>
          <w:color w:val="000000"/>
        </w:rPr>
        <w:t>Planning for further disaggregation</w:t>
      </w:r>
      <w:r w:rsidR="00A40B9E">
        <w:rPr>
          <w:rFonts w:eastAsia="Times New Roman"/>
          <w:color w:val="000000"/>
        </w:rPr>
        <w:t xml:space="preserve"> of assessment data for</w:t>
      </w:r>
      <w:r w:rsidRPr="00A40B9E">
        <w:rPr>
          <w:rFonts w:eastAsia="Times New Roman"/>
          <w:color w:val="000000"/>
        </w:rPr>
        <w:t xml:space="preserve"> student learning outcomes at the course level has centered around the following:</w:t>
      </w:r>
    </w:p>
    <w:p w:rsidR="00276402" w:rsidRPr="00A40B9E" w:rsidRDefault="00276402" w:rsidP="003060B5">
      <w:pPr>
        <w:rPr>
          <w:rFonts w:eastAsia="Times New Roman"/>
          <w:color w:val="000000"/>
        </w:rPr>
      </w:pPr>
    </w:p>
    <w:p w:rsidR="003060B5" w:rsidRPr="00A40B9E" w:rsidRDefault="00276402" w:rsidP="006D6546">
      <w:pPr>
        <w:pStyle w:val="ListParagraph"/>
        <w:numPr>
          <w:ilvl w:val="0"/>
          <w:numId w:val="2"/>
        </w:numPr>
        <w:rPr>
          <w:rFonts w:eastAsia="Times New Roman"/>
          <w:color w:val="000000"/>
        </w:rPr>
      </w:pPr>
      <w:r>
        <w:rPr>
          <w:rFonts w:eastAsia="Times New Roman"/>
          <w:color w:val="000000"/>
        </w:rPr>
        <w:t xml:space="preserve">The </w:t>
      </w:r>
      <w:r w:rsidR="003060B5" w:rsidRPr="00A40B9E">
        <w:rPr>
          <w:rFonts w:eastAsia="Times New Roman"/>
          <w:color w:val="000000"/>
        </w:rPr>
        <w:t>Data Tools</w:t>
      </w:r>
      <w:r w:rsidR="006D6546" w:rsidRPr="00A40B9E">
        <w:rPr>
          <w:rFonts w:eastAsia="Times New Roman"/>
          <w:color w:val="000000"/>
        </w:rPr>
        <w:t xml:space="preserve"> feature in </w:t>
      </w:r>
      <w:proofErr w:type="spellStart"/>
      <w:r w:rsidR="006D6546" w:rsidRPr="00A40B9E">
        <w:rPr>
          <w:rFonts w:eastAsia="Times New Roman"/>
          <w:color w:val="000000"/>
        </w:rPr>
        <w:t>TracDat</w:t>
      </w:r>
      <w:proofErr w:type="spellEnd"/>
      <w:r w:rsidR="006D6546" w:rsidRPr="00A40B9E">
        <w:rPr>
          <w:rFonts w:eastAsia="Times New Roman"/>
          <w:color w:val="000000"/>
        </w:rPr>
        <w:t xml:space="preserve"> has been analyzed. Use of this feature</w:t>
      </w:r>
      <w:r w:rsidR="003060B5" w:rsidRPr="00A40B9E">
        <w:rPr>
          <w:rFonts w:eastAsia="Times New Roman"/>
          <w:color w:val="000000"/>
        </w:rPr>
        <w:t xml:space="preserve"> would necessitate clerical data entry</w:t>
      </w:r>
      <w:r w:rsidR="00A40B9E">
        <w:rPr>
          <w:rFonts w:eastAsia="Times New Roman"/>
          <w:color w:val="000000"/>
        </w:rPr>
        <w:t xml:space="preserve">. </w:t>
      </w:r>
      <w:r w:rsidR="006D6546" w:rsidRPr="00A40B9E">
        <w:rPr>
          <w:rFonts w:eastAsia="Times New Roman"/>
          <w:color w:val="000000"/>
        </w:rPr>
        <w:t>M</w:t>
      </w:r>
      <w:r w:rsidR="003060B5" w:rsidRPr="00A40B9E">
        <w:rPr>
          <w:rFonts w:eastAsia="Times New Roman"/>
          <w:color w:val="000000"/>
        </w:rPr>
        <w:t>ore importantly</w:t>
      </w:r>
      <w:r w:rsidR="006D6546" w:rsidRPr="00A40B9E">
        <w:rPr>
          <w:rFonts w:eastAsia="Times New Roman"/>
          <w:color w:val="000000"/>
        </w:rPr>
        <w:t xml:space="preserve">, </w:t>
      </w:r>
      <w:r>
        <w:rPr>
          <w:rFonts w:eastAsia="Times New Roman"/>
          <w:color w:val="000000"/>
        </w:rPr>
        <w:t xml:space="preserve">because </w:t>
      </w:r>
      <w:r w:rsidR="006D6546" w:rsidRPr="00A40B9E">
        <w:rPr>
          <w:rFonts w:eastAsia="Times New Roman"/>
          <w:color w:val="000000"/>
        </w:rPr>
        <w:t>it requires</w:t>
      </w:r>
      <w:r w:rsidR="00A40B9E">
        <w:rPr>
          <w:rFonts w:eastAsia="Times New Roman"/>
          <w:color w:val="000000"/>
        </w:rPr>
        <w:t xml:space="preserve"> faculty</w:t>
      </w:r>
      <w:r w:rsidR="006D6546" w:rsidRPr="00A40B9E">
        <w:rPr>
          <w:rFonts w:eastAsia="Times New Roman"/>
          <w:color w:val="000000"/>
        </w:rPr>
        <w:t xml:space="preserve"> to make</w:t>
      </w:r>
      <w:r w:rsidR="003060B5" w:rsidRPr="00A40B9E">
        <w:rPr>
          <w:rFonts w:eastAsia="Times New Roman"/>
          <w:color w:val="000000"/>
        </w:rPr>
        <w:t xml:space="preserve"> many </w:t>
      </w:r>
      <w:r>
        <w:rPr>
          <w:rFonts w:eastAsia="Times New Roman"/>
          <w:color w:val="000000"/>
        </w:rPr>
        <w:t>tedious mouse clicks</w:t>
      </w:r>
      <w:r w:rsidR="003060B5" w:rsidRPr="00A40B9E">
        <w:rPr>
          <w:rFonts w:eastAsia="Times New Roman"/>
          <w:color w:val="000000"/>
        </w:rPr>
        <w:t xml:space="preserve"> </w:t>
      </w:r>
      <w:r>
        <w:rPr>
          <w:rFonts w:eastAsia="Times New Roman"/>
          <w:color w:val="000000"/>
        </w:rPr>
        <w:t>(</w:t>
      </w:r>
      <w:r w:rsidR="003060B5" w:rsidRPr="00A40B9E">
        <w:rPr>
          <w:rFonts w:eastAsia="Times New Roman"/>
          <w:color w:val="000000"/>
        </w:rPr>
        <w:t>"Above Expectations", "At Expectations", "Below Expectations"</w:t>
      </w:r>
      <w:r>
        <w:rPr>
          <w:rFonts w:eastAsia="Times New Roman"/>
          <w:color w:val="000000"/>
        </w:rPr>
        <w:t>) for each student, we suspect that it would</w:t>
      </w:r>
      <w:r w:rsidR="003060B5" w:rsidRPr="00A40B9E">
        <w:rPr>
          <w:rFonts w:eastAsia="Times New Roman"/>
          <w:color w:val="000000"/>
        </w:rPr>
        <w:t xml:space="preserve"> </w:t>
      </w:r>
      <w:r>
        <w:rPr>
          <w:rFonts w:eastAsia="Times New Roman"/>
          <w:color w:val="000000"/>
        </w:rPr>
        <w:t>jeopardize</w:t>
      </w:r>
      <w:r w:rsidR="006D6546" w:rsidRPr="00A40B9E">
        <w:rPr>
          <w:rFonts w:eastAsia="Times New Roman"/>
          <w:color w:val="000000"/>
        </w:rPr>
        <w:t xml:space="preserve"> the reflection, enhancement, and dialogue pieces. </w:t>
      </w:r>
      <w:r w:rsidR="003060B5" w:rsidRPr="00A40B9E">
        <w:rPr>
          <w:rFonts w:eastAsia="Times New Roman"/>
          <w:color w:val="000000"/>
        </w:rPr>
        <w:t>Hence, we will not choose this method to disaggregate data.</w:t>
      </w:r>
    </w:p>
    <w:p w:rsidR="003060B5" w:rsidRPr="004A5A21" w:rsidRDefault="003060B5" w:rsidP="00CC10A9">
      <w:pPr>
        <w:pStyle w:val="ListParagraph"/>
        <w:numPr>
          <w:ilvl w:val="0"/>
          <w:numId w:val="2"/>
        </w:numPr>
        <w:rPr>
          <w:rFonts w:eastAsia="Times New Roman"/>
          <w:color w:val="000000"/>
        </w:rPr>
      </w:pPr>
      <w:r w:rsidRPr="00A40B9E">
        <w:rPr>
          <w:rFonts w:eastAsia="Times New Roman"/>
          <w:color w:val="000000"/>
        </w:rPr>
        <w:t xml:space="preserve">Canvas </w:t>
      </w:r>
      <w:r w:rsidR="00276402">
        <w:rPr>
          <w:rFonts w:eastAsia="Times New Roman"/>
          <w:color w:val="000000"/>
        </w:rPr>
        <w:t xml:space="preserve">(our online course management system) </w:t>
      </w:r>
      <w:r w:rsidRPr="00A40B9E">
        <w:rPr>
          <w:rFonts w:eastAsia="Times New Roman"/>
          <w:color w:val="000000"/>
        </w:rPr>
        <w:t>allows</w:t>
      </w:r>
      <w:r w:rsidR="00276402">
        <w:rPr>
          <w:rFonts w:eastAsia="Times New Roman"/>
          <w:color w:val="000000"/>
        </w:rPr>
        <w:t xml:space="preserve"> for the</w:t>
      </w:r>
      <w:r w:rsidRPr="00A40B9E">
        <w:rPr>
          <w:rFonts w:eastAsia="Times New Roman"/>
          <w:color w:val="000000"/>
        </w:rPr>
        <w:t xml:space="preserve"> integration of SLO statements with specific assignment</w:t>
      </w:r>
      <w:r w:rsidR="00276402">
        <w:rPr>
          <w:rFonts w:eastAsia="Times New Roman"/>
          <w:color w:val="000000"/>
        </w:rPr>
        <w:t>s</w:t>
      </w:r>
      <w:r w:rsidRPr="00A40B9E">
        <w:rPr>
          <w:rFonts w:eastAsia="Times New Roman"/>
          <w:color w:val="000000"/>
        </w:rPr>
        <w:t xml:space="preserve">. The assessment becomes part of the regular feedback process and interaction between instructor and student. </w:t>
      </w:r>
      <w:r w:rsidR="00A40B9E">
        <w:rPr>
          <w:rFonts w:eastAsia="Times New Roman"/>
          <w:color w:val="000000"/>
        </w:rPr>
        <w:t xml:space="preserve">The data collected is used to back the reflection, enhancement, and departmental dialogue pieces of assessment; unlike the Data Tools in </w:t>
      </w:r>
      <w:proofErr w:type="spellStart"/>
      <w:r w:rsidR="00A40B9E">
        <w:rPr>
          <w:rFonts w:eastAsia="Times New Roman"/>
          <w:color w:val="000000"/>
        </w:rPr>
        <w:t>TracDat</w:t>
      </w:r>
      <w:proofErr w:type="spellEnd"/>
      <w:r w:rsidR="00A40B9E">
        <w:rPr>
          <w:rFonts w:eastAsia="Times New Roman"/>
          <w:color w:val="000000"/>
        </w:rPr>
        <w:t xml:space="preserve">, it is not likely to replace them. </w:t>
      </w:r>
      <w:r w:rsidRPr="00A40B9E">
        <w:rPr>
          <w:rFonts w:eastAsia="Times New Roman"/>
          <w:color w:val="000000"/>
        </w:rPr>
        <w:t xml:space="preserve">This </w:t>
      </w:r>
      <w:r w:rsidR="00664A1F">
        <w:rPr>
          <w:rFonts w:eastAsia="Times New Roman"/>
          <w:color w:val="000000"/>
        </w:rPr>
        <w:t xml:space="preserve">set of tools </w:t>
      </w:r>
      <w:r w:rsidRPr="00A40B9E">
        <w:rPr>
          <w:rFonts w:eastAsia="Times New Roman"/>
          <w:color w:val="000000"/>
        </w:rPr>
        <w:t>will be demonstrated in</w:t>
      </w:r>
      <w:r w:rsidR="00664A1F">
        <w:rPr>
          <w:rFonts w:eastAsia="Times New Roman"/>
          <w:color w:val="000000"/>
        </w:rPr>
        <w:t xml:space="preserve"> the</w:t>
      </w:r>
      <w:r w:rsidRPr="00A40B9E">
        <w:rPr>
          <w:rFonts w:eastAsia="Times New Roman"/>
          <w:color w:val="000000"/>
        </w:rPr>
        <w:t xml:space="preserve"> SLO Newsletter with reference to materials and workshops </w:t>
      </w:r>
      <w:r w:rsidR="00664A1F">
        <w:rPr>
          <w:rFonts w:eastAsia="Times New Roman"/>
          <w:color w:val="000000"/>
        </w:rPr>
        <w:t xml:space="preserve">that </w:t>
      </w:r>
      <w:r w:rsidRPr="00A40B9E">
        <w:rPr>
          <w:rFonts w:eastAsia="Times New Roman"/>
          <w:color w:val="000000"/>
        </w:rPr>
        <w:t xml:space="preserve">will be provided through Online Education. </w:t>
      </w:r>
      <w:r w:rsidR="00A40B9E">
        <w:rPr>
          <w:rFonts w:eastAsia="Times New Roman"/>
          <w:color w:val="000000"/>
        </w:rPr>
        <w:t>Fall 2017</w:t>
      </w:r>
      <w:r w:rsidRPr="00A40B9E">
        <w:rPr>
          <w:rFonts w:eastAsia="Times New Roman"/>
          <w:color w:val="000000"/>
        </w:rPr>
        <w:t xml:space="preserve"> is the first quarter where Canvas is the one and only LMS being used by all faculty wh</w:t>
      </w:r>
      <w:r w:rsidR="00A40B9E">
        <w:rPr>
          <w:rFonts w:eastAsia="Times New Roman"/>
          <w:color w:val="000000"/>
        </w:rPr>
        <w:t>o teach hybrid or online classes</w:t>
      </w:r>
      <w:r w:rsidR="006D6546" w:rsidRPr="00A40B9E">
        <w:rPr>
          <w:rFonts w:eastAsia="Times New Roman"/>
          <w:color w:val="000000"/>
        </w:rPr>
        <w:t>.</w:t>
      </w:r>
      <w:r w:rsidRPr="00A40B9E">
        <w:rPr>
          <w:rFonts w:eastAsia="Times New Roman"/>
          <w:color w:val="000000"/>
        </w:rPr>
        <w:t xml:space="preserve"> Considering that Canvas is very new to all, this </w:t>
      </w:r>
      <w:r w:rsidR="00A40B9E">
        <w:rPr>
          <w:rFonts w:eastAsia="Times New Roman"/>
          <w:color w:val="000000"/>
        </w:rPr>
        <w:t>integration will be postponed until</w:t>
      </w:r>
      <w:r w:rsidRPr="00A40B9E">
        <w:rPr>
          <w:rFonts w:eastAsia="Times New Roman"/>
          <w:color w:val="000000"/>
        </w:rPr>
        <w:t xml:space="preserve"> Winter or Spring 2018.</w:t>
      </w:r>
    </w:p>
    <w:sectPr w:rsidR="003060B5" w:rsidRPr="004A5A21" w:rsidSect="00E05B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7A06"/>
    <w:multiLevelType w:val="hybridMultilevel"/>
    <w:tmpl w:val="FC92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C4107"/>
    <w:multiLevelType w:val="hybridMultilevel"/>
    <w:tmpl w:val="D2B2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67"/>
    <w:rsid w:val="001269F9"/>
    <w:rsid w:val="001676DE"/>
    <w:rsid w:val="001759FB"/>
    <w:rsid w:val="001A5C13"/>
    <w:rsid w:val="001E6C86"/>
    <w:rsid w:val="00276402"/>
    <w:rsid w:val="002C5933"/>
    <w:rsid w:val="002F7A49"/>
    <w:rsid w:val="003060B5"/>
    <w:rsid w:val="003230E8"/>
    <w:rsid w:val="00326420"/>
    <w:rsid w:val="00492842"/>
    <w:rsid w:val="004A5A21"/>
    <w:rsid w:val="004D1E6A"/>
    <w:rsid w:val="005F698C"/>
    <w:rsid w:val="00636384"/>
    <w:rsid w:val="00664A1F"/>
    <w:rsid w:val="00664B38"/>
    <w:rsid w:val="006D6546"/>
    <w:rsid w:val="006F6CE5"/>
    <w:rsid w:val="00701141"/>
    <w:rsid w:val="0072279D"/>
    <w:rsid w:val="00732DF2"/>
    <w:rsid w:val="00740C8C"/>
    <w:rsid w:val="00756003"/>
    <w:rsid w:val="007F6B1A"/>
    <w:rsid w:val="008F6693"/>
    <w:rsid w:val="0097218C"/>
    <w:rsid w:val="009C1167"/>
    <w:rsid w:val="00A30D2C"/>
    <w:rsid w:val="00A40B9E"/>
    <w:rsid w:val="00AF1A8A"/>
    <w:rsid w:val="00B55C04"/>
    <w:rsid w:val="00BA4D07"/>
    <w:rsid w:val="00BA79C3"/>
    <w:rsid w:val="00C44B56"/>
    <w:rsid w:val="00CC10A9"/>
    <w:rsid w:val="00CE2CF9"/>
    <w:rsid w:val="00D05612"/>
    <w:rsid w:val="00D54F2C"/>
    <w:rsid w:val="00D61808"/>
    <w:rsid w:val="00D76B16"/>
    <w:rsid w:val="00D93BB5"/>
    <w:rsid w:val="00E05BD9"/>
    <w:rsid w:val="00E36717"/>
    <w:rsid w:val="00EE0694"/>
    <w:rsid w:val="00F42A78"/>
    <w:rsid w:val="00FA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64CCE-098E-43DA-8B3C-624228E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1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6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F69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9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5933"/>
    <w:rPr>
      <w:color w:val="0563C1" w:themeColor="hyperlink"/>
      <w:u w:val="single"/>
    </w:rPr>
  </w:style>
  <w:style w:type="character" w:customStyle="1" w:styleId="UnresolvedMention1">
    <w:name w:val="Unresolved Mention1"/>
    <w:basedOn w:val="DefaultParagraphFont"/>
    <w:uiPriority w:val="99"/>
    <w:semiHidden/>
    <w:unhideWhenUsed/>
    <w:rsid w:val="002C5933"/>
    <w:rPr>
      <w:color w:val="808080"/>
      <w:shd w:val="clear" w:color="auto" w:fill="E6E6E6"/>
    </w:rPr>
  </w:style>
  <w:style w:type="character" w:styleId="FollowedHyperlink">
    <w:name w:val="FollowedHyperlink"/>
    <w:basedOn w:val="DefaultParagraphFont"/>
    <w:uiPriority w:val="99"/>
    <w:semiHidden/>
    <w:unhideWhenUsed/>
    <w:rsid w:val="00C44B56"/>
    <w:rPr>
      <w:color w:val="954F72" w:themeColor="followedHyperlink"/>
      <w:u w:val="single"/>
    </w:rPr>
  </w:style>
  <w:style w:type="paragraph" w:styleId="ListParagraph">
    <w:name w:val="List Paragraph"/>
    <w:basedOn w:val="Normal"/>
    <w:uiPriority w:val="34"/>
    <w:qFormat/>
    <w:rsid w:val="001759FB"/>
    <w:pPr>
      <w:ind w:left="720"/>
      <w:contextualSpacing/>
    </w:pPr>
  </w:style>
  <w:style w:type="character" w:styleId="Strong">
    <w:name w:val="Strong"/>
    <w:basedOn w:val="DefaultParagraphFont"/>
    <w:uiPriority w:val="22"/>
    <w:qFormat/>
    <w:rsid w:val="007F6B1A"/>
    <w:rPr>
      <w:b/>
      <w:bCs/>
    </w:rPr>
  </w:style>
  <w:style w:type="paragraph" w:styleId="BalloonText">
    <w:name w:val="Balloon Text"/>
    <w:basedOn w:val="Normal"/>
    <w:link w:val="BalloonTextChar"/>
    <w:uiPriority w:val="99"/>
    <w:semiHidden/>
    <w:unhideWhenUsed/>
    <w:rsid w:val="00D54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F2C"/>
    <w:rPr>
      <w:rFonts w:ascii="Segoe UI" w:hAnsi="Segoe UI" w:cs="Segoe UI"/>
      <w:sz w:val="18"/>
      <w:szCs w:val="18"/>
    </w:rPr>
  </w:style>
  <w:style w:type="character" w:styleId="UnresolvedMention">
    <w:name w:val="Unresolved Mention"/>
    <w:basedOn w:val="DefaultParagraphFont"/>
    <w:uiPriority w:val="99"/>
    <w:semiHidden/>
    <w:unhideWhenUsed/>
    <w:rsid w:val="003230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7990">
      <w:bodyDiv w:val="1"/>
      <w:marLeft w:val="0"/>
      <w:marRight w:val="0"/>
      <w:marTop w:val="0"/>
      <w:marBottom w:val="0"/>
      <w:divBdr>
        <w:top w:val="none" w:sz="0" w:space="0" w:color="auto"/>
        <w:left w:val="none" w:sz="0" w:space="0" w:color="auto"/>
        <w:bottom w:val="none" w:sz="0" w:space="0" w:color="auto"/>
        <w:right w:val="none" w:sz="0" w:space="0" w:color="auto"/>
      </w:divBdr>
      <w:divsChild>
        <w:div w:id="587620693">
          <w:marLeft w:val="0"/>
          <w:marRight w:val="0"/>
          <w:marTop w:val="0"/>
          <w:marBottom w:val="0"/>
          <w:divBdr>
            <w:top w:val="none" w:sz="0" w:space="0" w:color="auto"/>
            <w:left w:val="none" w:sz="0" w:space="0" w:color="auto"/>
            <w:bottom w:val="none" w:sz="0" w:space="0" w:color="auto"/>
            <w:right w:val="none" w:sz="0" w:space="0" w:color="auto"/>
          </w:divBdr>
          <w:divsChild>
            <w:div w:id="1897546027">
              <w:marLeft w:val="0"/>
              <w:marRight w:val="0"/>
              <w:marTop w:val="0"/>
              <w:marBottom w:val="0"/>
              <w:divBdr>
                <w:top w:val="none" w:sz="0" w:space="0" w:color="auto"/>
                <w:left w:val="none" w:sz="0" w:space="0" w:color="auto"/>
                <w:bottom w:val="none" w:sz="0" w:space="0" w:color="auto"/>
                <w:right w:val="none" w:sz="0" w:space="0" w:color="auto"/>
              </w:divBdr>
              <w:divsChild>
                <w:div w:id="20682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66286">
      <w:bodyDiv w:val="1"/>
      <w:marLeft w:val="0"/>
      <w:marRight w:val="0"/>
      <w:marTop w:val="0"/>
      <w:marBottom w:val="0"/>
      <w:divBdr>
        <w:top w:val="none" w:sz="0" w:space="0" w:color="auto"/>
        <w:left w:val="none" w:sz="0" w:space="0" w:color="auto"/>
        <w:bottom w:val="none" w:sz="0" w:space="0" w:color="auto"/>
        <w:right w:val="none" w:sz="0" w:space="0" w:color="auto"/>
      </w:divBdr>
    </w:div>
    <w:div w:id="545995089">
      <w:bodyDiv w:val="1"/>
      <w:marLeft w:val="0"/>
      <w:marRight w:val="0"/>
      <w:marTop w:val="0"/>
      <w:marBottom w:val="0"/>
      <w:divBdr>
        <w:top w:val="none" w:sz="0" w:space="0" w:color="auto"/>
        <w:left w:val="none" w:sz="0" w:space="0" w:color="auto"/>
        <w:bottom w:val="none" w:sz="0" w:space="0" w:color="auto"/>
        <w:right w:val="none" w:sz="0" w:space="0" w:color="auto"/>
      </w:divBdr>
      <w:divsChild>
        <w:div w:id="1107431299">
          <w:marLeft w:val="0"/>
          <w:marRight w:val="0"/>
          <w:marTop w:val="0"/>
          <w:marBottom w:val="0"/>
          <w:divBdr>
            <w:top w:val="none" w:sz="0" w:space="0" w:color="auto"/>
            <w:left w:val="none" w:sz="0" w:space="0" w:color="auto"/>
            <w:bottom w:val="none" w:sz="0" w:space="0" w:color="auto"/>
            <w:right w:val="none" w:sz="0" w:space="0" w:color="auto"/>
          </w:divBdr>
          <w:divsChild>
            <w:div w:id="962542818">
              <w:marLeft w:val="0"/>
              <w:marRight w:val="0"/>
              <w:marTop w:val="0"/>
              <w:marBottom w:val="0"/>
              <w:divBdr>
                <w:top w:val="none" w:sz="0" w:space="0" w:color="auto"/>
                <w:left w:val="none" w:sz="0" w:space="0" w:color="auto"/>
                <w:bottom w:val="none" w:sz="0" w:space="0" w:color="auto"/>
                <w:right w:val="none" w:sz="0" w:space="0" w:color="auto"/>
              </w:divBdr>
              <w:divsChild>
                <w:div w:id="14236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5654">
      <w:bodyDiv w:val="1"/>
      <w:marLeft w:val="0"/>
      <w:marRight w:val="0"/>
      <w:marTop w:val="0"/>
      <w:marBottom w:val="0"/>
      <w:divBdr>
        <w:top w:val="none" w:sz="0" w:space="0" w:color="auto"/>
        <w:left w:val="none" w:sz="0" w:space="0" w:color="auto"/>
        <w:bottom w:val="none" w:sz="0" w:space="0" w:color="auto"/>
        <w:right w:val="none" w:sz="0" w:space="0" w:color="auto"/>
      </w:divBdr>
      <w:divsChild>
        <w:div w:id="104035338">
          <w:marLeft w:val="0"/>
          <w:marRight w:val="0"/>
          <w:marTop w:val="0"/>
          <w:marBottom w:val="0"/>
          <w:divBdr>
            <w:top w:val="none" w:sz="0" w:space="0" w:color="auto"/>
            <w:left w:val="none" w:sz="0" w:space="0" w:color="auto"/>
            <w:bottom w:val="none" w:sz="0" w:space="0" w:color="auto"/>
            <w:right w:val="none" w:sz="0" w:space="0" w:color="auto"/>
          </w:divBdr>
          <w:divsChild>
            <w:div w:id="15691260">
              <w:marLeft w:val="0"/>
              <w:marRight w:val="0"/>
              <w:marTop w:val="0"/>
              <w:marBottom w:val="0"/>
              <w:divBdr>
                <w:top w:val="none" w:sz="0" w:space="0" w:color="auto"/>
                <w:left w:val="none" w:sz="0" w:space="0" w:color="auto"/>
                <w:bottom w:val="none" w:sz="0" w:space="0" w:color="auto"/>
                <w:right w:val="none" w:sz="0" w:space="0" w:color="auto"/>
              </w:divBdr>
              <w:divsChild>
                <w:div w:id="17318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deanza.edu/slo/accreditation_2017/AUO--VIDA.pdf" TargetMode="External"/><Relationship Id="rId18" Type="http://schemas.openxmlformats.org/officeDocument/2006/relationships/hyperlink" Target="http://www.deanza.edu/slo/accreditation_2017/Psych%20Services.pdf" TargetMode="External"/><Relationship Id="rId26" Type="http://schemas.openxmlformats.org/officeDocument/2006/relationships/hyperlink" Target="http://syl.deanza.edu/" TargetMode="External"/><Relationship Id="rId3" Type="http://schemas.openxmlformats.org/officeDocument/2006/relationships/settings" Target="settings.xml"/><Relationship Id="rId21" Type="http://schemas.openxmlformats.org/officeDocument/2006/relationships/hyperlink" Target="http://www.deanza.edu/slo/accreditation_2017/What%20I%20Won%20My%20500%20dollars%20LOAC%20Award%20For%20by%20Byron%20Lilly.pdf" TargetMode="External"/><Relationship Id="rId34"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hyperlink" Target="http://www.deanza.edu/slo/accreditation_2017/PHIL07_Assessment_Driving_Change.pdf" TargetMode="External"/><Relationship Id="rId17" Type="http://schemas.openxmlformats.org/officeDocument/2006/relationships/hyperlink" Target="http://www.deanza.edu/slo/accreditation_2017/CIS%20Program%20Level%20Outcomes.pdf" TargetMode="External"/><Relationship Id="rId25" Type="http://schemas.openxmlformats.org/officeDocument/2006/relationships/hyperlink" Target="http://www.deanza.edu/buscs/greensheets/gsarchive.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anza.edu/slo/accreditation_2017/Chemistry_SLOAC_Example.pdf" TargetMode="External"/><Relationship Id="rId20" Type="http://schemas.openxmlformats.org/officeDocument/2006/relationships/hyperlink" Target="http://www.deanza.edu/slo/accreditation_2017/Massage%20Retreat%20notes%203_25_16.pdf" TargetMode="External"/><Relationship Id="rId29" Type="http://schemas.openxmlformats.org/officeDocument/2006/relationships/hyperlink" Target="http://deanza.edu/ir/deanza-research-projects/2013-14/Disaggregated%20ICCs.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eanza.edu/slo/accreditation_2017/Tobacco_Cessation_Program.pdf" TargetMode="External"/><Relationship Id="rId24" Type="http://schemas.openxmlformats.org/officeDocument/2006/relationships/hyperlink" Target="http://www.deanza.edu/slo/" TargetMode="External"/><Relationship Id="rId32" Type="http://schemas.microsoft.com/office/2007/relationships/hdphoto" Target="media/hdphoto1.wdp"/><Relationship Id="rId5" Type="http://schemas.openxmlformats.org/officeDocument/2006/relationships/image" Target="media/image1.jpeg"/><Relationship Id="rId15" Type="http://schemas.openxmlformats.org/officeDocument/2006/relationships/hyperlink" Target="http://www.deanza.edu/slo/accreditation_2017/Philosophy_PLO_Assessment.pdf" TargetMode="External"/><Relationship Id="rId23" Type="http://schemas.openxmlformats.org/officeDocument/2006/relationships/hyperlink" Target="http://www.deanza.edu/slo/accreditation_2017/HUMI%2016.pdf" TargetMode="External"/><Relationship Id="rId28" Type="http://schemas.openxmlformats.org/officeDocument/2006/relationships/hyperlink" Target="http://deanza.edu/accreditation/2017/pdf/StudentAccreditationICCs_2016.pdf" TargetMode="External"/><Relationship Id="rId10" Type="http://schemas.openxmlformats.org/officeDocument/2006/relationships/hyperlink" Target="http://deanza.edu/slo/icc_assessment/civic_capacity_assessment/cycle_1_narrative.html" TargetMode="External"/><Relationship Id="rId19" Type="http://schemas.openxmlformats.org/officeDocument/2006/relationships/hyperlink" Target="http://www.deanza.edu/slo/accreditation_2017/Massage_Therapy_50A_50B.pdf"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deanza.edu/slo/accreditation_2017/Healthy%20News%20Habits.pptx" TargetMode="External"/><Relationship Id="rId22" Type="http://schemas.openxmlformats.org/officeDocument/2006/relationships/hyperlink" Target="http://www.deanza.edu/slo/accreditation_2017/2017-18%20LOAC%20Speech%20Application.pdf" TargetMode="External"/><Relationship Id="rId27" Type="http://schemas.openxmlformats.org/officeDocument/2006/relationships/hyperlink" Target="http://syl.deanza.edu/" TargetMode="External"/><Relationship Id="rId30" Type="http://schemas.openxmlformats.org/officeDocument/2006/relationships/hyperlink" Target="http://deanza.edu/ir/deanza-research-projects/2012_13/Institutional%20Core%20Competenc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Pape</dc:creator>
  <cp:lastModifiedBy>Mary Pape</cp:lastModifiedBy>
  <cp:revision>4</cp:revision>
  <cp:lastPrinted>2017-10-09T15:04:00Z</cp:lastPrinted>
  <dcterms:created xsi:type="dcterms:W3CDTF">2017-10-09T15:08:00Z</dcterms:created>
  <dcterms:modified xsi:type="dcterms:W3CDTF">2017-10-09T15:25:00Z</dcterms:modified>
</cp:coreProperties>
</file>